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ind/>
      </w:pPr>
    </w:p>
    <w:p>
      <w:pPr>
        <w:ind/>
      </w:pPr>
    </w:p>
    <w:p>
      <w:pPr>
        <w:jc w:val="center"/>
      </w:pPr>
      <w:r>
        <w:rPr>
          <w:rFonts w:ascii="Times New Roman" w:hAnsi="Times New Roman" w:eastAsia="SimSun"/>
          <w:sz w:val="32"/>
          <w:szCs w:val="32"/>
          <w:b/>
          <w:bCs/>
        </w:rPr>
        <w:t xml:space="preserve">A Comparative Study of Special Vocational Education and Employment Transition in Shanghai and Kuala Lumpur Metropolitan Area</w:t>
      </w:r>
    </w:p>
    <w:p>
      <w:pPr>
        <w:ind/>
      </w:pPr>
    </w:p>
    <w:p>
      <w:pPr>
        <w:jc w:val="center"/>
      </w:pPr>
      <w:r>
        <w:rPr>
          <w:rFonts w:ascii="Times New Roman" w:hAnsi="Times New Roman" w:eastAsia="SimSun"/>
          <w:sz w:val="24"/>
          <w:szCs w:val="24"/>
        </w:rPr>
        <w:t xml:space="preserve">Based on Multidimensional Analysis of School Curriculum, Skill Certification, Internship Practice, and Continuous Employment Support</w:t>
      </w:r>
    </w:p>
    <w:p>
      <w:pPr>
        <w:ind/>
      </w:pPr>
    </w:p>
    <w:p>
      <w:pPr>
        <w:ind/>
      </w:pPr>
    </w:p>
    <w:p>
      <w:pPr>
        <w:ind/>
      </w:pPr>
    </w:p>
    <w:p>
      <w:pPr>
        <w:ind/>
      </w:pPr>
    </w:p>
    <w:p>
      <w:pPr>
        <w:ind/>
      </w:pPr>
    </w:p>
    <w:p>
      <w:pPr>
        <w:ind/>
      </w:pPr>
    </w:p>
    <w:p>
      <w:pPr>
        <w:jc w:val="center"/>
      </w:pPr>
      <w:r>
        <w:rPr>
          <w:rFonts w:ascii="Times New Roman" w:hAnsi="Times New Roman" w:eastAsia="SimSun"/>
          <w:sz w:val="24"/>
          <w:szCs w:val="24"/>
          <w:b/>
          <w:bCs/>
        </w:rPr>
        <w:t xml:space="preserve">[Author Name]  </w:t>
      </w:r>
      <w:r>
        <w:rPr>
          <w:rFonts w:ascii="Times New Roman" w:hAnsi="Times New Roman" w:eastAsia="SimSun"/>
          <w:sz w:val="24"/>
          <w:szCs w:val="24"/>
        </w:rPr>
        <w:t xml:space="preserve"/>
      </w:r>
    </w:p>
    <w:p>
      <w:pPr>
        <w:jc w:val="center"/>
      </w:pPr>
      <w:r>
        <w:rPr>
          <w:rFonts w:ascii="Times New Roman" w:hAnsi="Times New Roman" w:eastAsia="SimSun"/>
          <w:sz w:val="24"/>
          <w:szCs w:val="24"/>
          <w:b/>
          <w:bCs/>
        </w:rPr>
        <w:t xml:space="preserve">[Affiliation]  </w:t>
      </w:r>
      <w:r>
        <w:rPr>
          <w:rFonts w:ascii="Times New Roman" w:hAnsi="Times New Roman" w:eastAsia="SimSun"/>
          <w:sz w:val="24"/>
          <w:szCs w:val="24"/>
        </w:rPr>
        <w:t xml:space="preserve"/>
      </w:r>
    </w:p>
    <w:p>
      <w:pPr>
        <w:jc w:val="center"/>
      </w:pPr>
      <w:r>
        <w:rPr>
          <w:rFonts w:ascii="Times New Roman" w:hAnsi="Times New Roman" w:eastAsia="SimSun"/>
          <w:sz w:val="24"/>
          <w:szCs w:val="24"/>
          <w:b/>
          <w:bCs/>
        </w:rPr>
        <w:t xml:space="preserve">[Course / Instructor / Date]  </w:t>
      </w:r>
      <w:r>
        <w:rPr>
          <w:rFonts w:ascii="Times New Roman" w:hAnsi="Times New Roman" w:eastAsia="SimSun"/>
          <w:sz w:val="24"/>
          <w:szCs w:val="24"/>
        </w:rPr>
        <w:t xml:space="preserve"/>
      </w:r>
    </w:p>
    <w:p>
      <w:pPr>
        <w:ind/>
      </w:pPr>
    </w:p>
    <w:p>
      <w:pPr>
        <w:ind/>
      </w:pPr>
    </w:p>
    <w:p>
      <w:pPr>
        <w:ind/>
        <w:jc w:val="left"/>
      </w:pPr>
      <w:r>
        <w:rPr>
          <w:rFonts w:ascii="Times New Roman" w:hAnsi="Times New Roman" w:eastAsia="SimSun"/>
          <w:sz w:val="26"/>
          <w:szCs w:val="26"/>
          <w:b/>
          <w:bCs/>
        </w:rPr>
        <w:t xml:space="preserve">Table of Contents</w:t>
      </w:r>
    </w:p>
    <w:p>
      <w:pPr>
        <w:ind/>
      </w:pPr>
    </w:p>
    <w:p>
      <w:pPr>
        <w:ind/>
      </w:pPr>
      <w:r>
        <w:rPr>
          <w:rFonts w:ascii="Times New Roman" w:hAnsi="Times New Roman" w:eastAsia="SimSun"/>
          <w:sz w:val="22"/>
          <w:szCs w:val="22"/>
        </w:rPr>
        <w:t xml:space="preserve">Abstract</w:t>
      </w:r>
    </w:p>
    <w:p>
      <w:pPr>
        <w:ind/>
      </w:pPr>
      <w:r>
        <w:rPr>
          <w:rFonts w:ascii="Times New Roman" w:hAnsi="Times New Roman" w:eastAsia="SimSun"/>
          <w:sz w:val="22"/>
          <w:szCs w:val="22"/>
        </w:rPr>
        <w:t xml:space="preserve">1  Introduction and Comparative Framework</w:t>
      </w:r>
    </w:p>
    <w:p>
      <w:pPr>
        <w:ind/>
      </w:pPr>
      <w:r>
        <w:rPr>
          <w:rFonts w:ascii="Times New Roman" w:hAnsi="Times New Roman" w:eastAsia="SimSun"/>
          <w:sz w:val="22"/>
          <w:szCs w:val="22"/>
        </w:rPr>
        <w:t xml:space="preserve">2  Policy Framework and Institutional Positioning</w:t>
      </w:r>
    </w:p>
    <w:p>
      <w:pPr>
        <w:ind/>
      </w:pPr>
      <w:r>
        <w:rPr>
          <w:rFonts w:ascii="Times New Roman" w:hAnsi="Times New Roman" w:eastAsia="SimSun"/>
          <w:sz w:val="22"/>
          <w:szCs w:val="22"/>
        </w:rPr>
        <w:t xml:space="preserve">    2.1  Shanghai: District-Level Special-Vocational Sites and Enterprise Incentives</w:t>
      </w:r>
    </w:p>
    <w:p>
      <w:pPr>
        <w:ind/>
      </w:pPr>
      <w:r>
        <w:rPr>
          <w:rFonts w:ascii="Times New Roman" w:hAnsi="Times New Roman" w:eastAsia="SimSun"/>
          <w:sz w:val="22"/>
          <w:szCs w:val="22"/>
        </w:rPr>
        <w:t xml:space="preserve">    2.2  Kuala Lumpur: Multi-Sector Segmented Governance and Enterprise Incentives</w:t>
      </w:r>
    </w:p>
    <w:p>
      <w:pPr>
        <w:ind/>
      </w:pPr>
      <w:r>
        <w:rPr>
          <w:rFonts w:ascii="Times New Roman" w:hAnsi="Times New Roman" w:eastAsia="SimSun"/>
          <w:sz w:val="22"/>
          <w:szCs w:val="22"/>
        </w:rPr>
        <w:t xml:space="preserve">3  Curriculum, Training Pathways, and Skill Certification</w:t>
      </w:r>
    </w:p>
    <w:p>
      <w:pPr>
        <w:ind/>
      </w:pPr>
      <w:r>
        <w:rPr>
          <w:rFonts w:ascii="Times New Roman" w:hAnsi="Times New Roman" w:eastAsia="SimSun"/>
          <w:sz w:val="22"/>
          <w:szCs w:val="22"/>
        </w:rPr>
        <w:t xml:space="preserve">    3.1  Shanghai Fengxian Secondary Vocational School Special-Vocational Class</w:t>
      </w:r>
    </w:p>
    <w:p>
      <w:pPr>
        <w:ind/>
      </w:pPr>
      <w:r>
        <w:rPr>
          <w:rFonts w:ascii="Times New Roman" w:hAnsi="Times New Roman" w:eastAsia="SimSun"/>
          <w:sz w:val="22"/>
          <w:szCs w:val="22"/>
        </w:rPr>
        <w:t xml:space="preserve">    3.2  Kuala Lumpur Metropolitan Area: SMPKV and Multi-Institutional Pathways</w:t>
      </w:r>
    </w:p>
    <w:p>
      <w:pPr>
        <w:ind/>
      </w:pPr>
      <w:r>
        <w:rPr>
          <w:rFonts w:ascii="Times New Roman" w:hAnsi="Times New Roman" w:eastAsia="SimSun"/>
          <w:sz w:val="22"/>
          <w:szCs w:val="22"/>
        </w:rPr>
        <w:t xml:space="preserve">4  Evaluation of Off-Campus Internship Resources in Fengxian</w:t>
      </w:r>
    </w:p>
    <w:p>
      <w:pPr>
        <w:ind/>
      </w:pPr>
      <w:r>
        <w:rPr>
          <w:rFonts w:ascii="Times New Roman" w:hAnsi="Times New Roman" w:eastAsia="SimSun"/>
          <w:sz w:val="22"/>
          <w:szCs w:val="22"/>
        </w:rPr>
        <w:t xml:space="preserve">5  Job Coach and Continuous Employment Support</w:t>
      </w:r>
    </w:p>
    <w:p>
      <w:pPr>
        <w:ind/>
      </w:pPr>
      <w:r>
        <w:rPr>
          <w:rFonts w:ascii="Times New Roman" w:hAnsi="Times New Roman" w:eastAsia="SimSun"/>
          <w:sz w:val="22"/>
          <w:szCs w:val="22"/>
        </w:rPr>
        <w:t xml:space="preserve">6  Employment Outcomes, Retention Factors, and Data Limitations</w:t>
      </w:r>
    </w:p>
    <w:p>
      <w:pPr>
        <w:ind/>
      </w:pPr>
      <w:r>
        <w:rPr>
          <w:rFonts w:ascii="Times New Roman" w:hAnsi="Times New Roman" w:eastAsia="SimSun"/>
          <w:sz w:val="22"/>
          <w:szCs w:val="22"/>
        </w:rPr>
        <w:t xml:space="preserve">7  Comprehensive Comparison and Model Summary</w:t>
      </w:r>
    </w:p>
    <w:p>
      <w:pPr>
        <w:ind/>
      </w:pPr>
      <w:r>
        <w:rPr>
          <w:rFonts w:ascii="Times New Roman" w:hAnsi="Times New Roman" w:eastAsia="SimSun"/>
          <w:sz w:val="22"/>
          <w:szCs w:val="22"/>
        </w:rPr>
        <w:t xml:space="preserve">    7.1  Institutional Models and Trade-Offs</w:t>
      </w:r>
    </w:p>
    <w:p>
      <w:pPr>
        <w:ind/>
      </w:pPr>
      <w:r>
        <w:rPr>
          <w:rFonts w:ascii="Times New Roman" w:hAnsi="Times New Roman" w:eastAsia="SimSun"/>
          <w:sz w:val="22"/>
          <w:szCs w:val="22"/>
        </w:rPr>
        <w:t xml:space="preserve">    7.2  Common Systemic Challenges Across Both Cities</w:t>
      </w:r>
    </w:p>
    <w:p>
      <w:pPr>
        <w:ind/>
      </w:pPr>
      <w:r>
        <w:rPr>
          <w:rFonts w:ascii="Times New Roman" w:hAnsi="Times New Roman" w:eastAsia="SimSun"/>
          <w:sz w:val="22"/>
          <w:szCs w:val="22"/>
        </w:rPr>
        <w:t xml:space="preserve">8  Conclusion and Policy Implications</w:t>
      </w:r>
    </w:p>
    <w:p>
      <w:pPr>
        <w:ind/>
      </w:pPr>
      <w:r>
        <w:rPr>
          <w:rFonts w:ascii="Times New Roman" w:hAnsi="Times New Roman" w:eastAsia="SimSun"/>
          <w:sz w:val="22"/>
          <w:szCs w:val="22"/>
        </w:rPr>
        <w:t xml:space="preserve">    8.1  Conclusion</w:t>
      </w:r>
    </w:p>
    <w:p>
      <w:pPr>
        <w:ind/>
      </w:pPr>
      <w:r>
        <w:rPr>
          <w:rFonts w:ascii="Times New Roman" w:hAnsi="Times New Roman" w:eastAsia="SimSun"/>
          <w:sz w:val="22"/>
          <w:szCs w:val="22"/>
        </w:rPr>
        <w:t xml:space="preserve">    8.2  Policy Implications</w:t>
      </w:r>
    </w:p>
    <w:p>
      <w:pPr>
        <w:ind/>
      </w:pPr>
      <w:r>
        <w:rPr>
          <w:rFonts w:ascii="Times New Roman" w:hAnsi="Times New Roman" w:eastAsia="SimSun"/>
          <w:sz w:val="22"/>
          <w:szCs w:val="22"/>
        </w:rPr>
        <w:t xml:space="preserve">    8.3  Research Limitations</w:t>
      </w:r>
    </w:p>
    <w:p>
      <w:pPr>
        <w:ind/>
      </w:pPr>
      <w:r>
        <w:rPr>
          <w:rFonts w:ascii="Times New Roman" w:hAnsi="Times New Roman" w:eastAsia="SimSun"/>
          <w:sz w:val="22"/>
          <w:szCs w:val="22"/>
        </w:rPr>
        <w:t xml:space="preserve">    8.4  Future Research Directions</w:t>
      </w:r>
    </w:p>
    <w:p>
      <w:pPr>
        <w:ind/>
      </w:pPr>
      <w:r>
        <w:rPr>
          <w:rFonts w:ascii="Times New Roman" w:hAnsi="Times New Roman" w:eastAsia="SimSun"/>
          <w:sz w:val="22"/>
          <w:szCs w:val="22"/>
        </w:rPr>
        <w:t xml:space="preserve">References</w:t>
      </w:r>
    </w:p>
    <w:p>
      <w:pPr>
        <w:ind/>
      </w:pPr>
    </w:p>
    <w:p>
      <w:pPr>
        <w:ind/>
        <w:jc w:val="left"/>
      </w:pPr>
      <w:r>
        <w:rPr>
          <w:rFonts w:ascii="Times New Roman" w:hAnsi="Times New Roman" w:eastAsia="SimSun"/>
          <w:sz w:val="26"/>
          <w:szCs w:val="26"/>
          <w:b/>
          <w:bCs/>
        </w:rPr>
        <w:t xml:space="preserve">Abstract</w:t>
      </w:r>
    </w:p>
    <w:p>
      <w:pPr>
        <w:ind/>
      </w:pPr>
    </w:p>
    <w:p>
      <w:pPr>
        <w:ind w:firstLine="720"/>
        <w:jc w:val="both"/>
      </w:pPr>
      <w:r>
        <w:rPr>
          <w:rFonts w:ascii="Times New Roman" w:hAnsi="Times New Roman" w:eastAsia="SimSun"/>
          <w:sz w:val="24"/>
          <w:szCs w:val="24"/>
        </w:rPr>
        <w:t xml:space="preserve">This study conducts a comparative analysis of special-vocational-education and school-to-work-transition systems in Shanghai Fengxian Secondary Vocational School and the Kuala Lumpur metropolitan area, using a mixed deductive–inductive analytical framework that combines school-to-work transition (STWT) theory with the logic of multi-centre governance. The analysis proceeds across four dimensions—policy and institutional positioning, curriculum and skill certification, internship and job-cognition practice, and post-placement employment support—and deliberately treats these dimensions as theoretical derivatives rather than descriptive categories. Findings show that Shanghai operates a school-centred closed-loop system with standardised individualised education plans (IEPs) and progressive internships, yet faces shortages in authentic enterprise placements and lacks independent third-party Job Coach services. Kuala Lumpur employs multi-sector governance integrating SMPKV certification, the JKM Job Coach network, sheltered workshops, and NGO programmes, offering mature job-matching mechanisms but suffering from fragmented data management and inconsistent certification. Enterprise-side incentives also differ markedly: Shanghai combines a ratio-based soft obligation (the Disability Employment Security Fund, Canbaojin) with VAT refunds, wage-addition deductions, and urban land-use-tax relief, whereas Malaysia imposes no mandatory private-sector quota and relies chiefly on JKM training and placement services rather than tax rebates. The study argues that neither model is categorically superior; each represents a trade-off intrinsic to its governance structure. Theoretically, the paper contributes a typology linking four institutional configurations to four transition outcomes. Methodologically, it is limited to publicly available secondary sources and therefore cannot establish causal claims or compare employment rates directly; it can only compare institutional mechanisms. A multi-dimensional indicator system is proposed to replace single employment-rate metrics.</w:t>
      </w:r>
    </w:p>
    <w:p>
      <w:pPr>
        <w:ind/>
      </w:pPr>
    </w:p>
    <w:p>
      <w:r>
        <w:rPr>
          <w:rFonts w:ascii="Times New Roman" w:hAnsi="Times New Roman" w:eastAsia="SimSun"/>
          <w:sz w:val="24"/>
          <w:szCs w:val="24"/>
          <w:b/>
          <w:bCs/>
        </w:rPr>
        <w:t xml:space="preserve">Keywords: </w:t>
      </w:r>
      <w:r>
        <w:rPr>
          <w:rFonts w:ascii="Times New Roman" w:hAnsi="Times New Roman" w:eastAsia="SimSun"/>
          <w:sz w:val="24"/>
          <w:szCs w:val="24"/>
        </w:rPr>
        <w:t xml:space="preserve">special vocational education; employment transition; Job Coach; supported employment; school-to-work transition theory; multi-centre governance; Shanghai Fengxian; Kuala Lumpur; SMPKV; sustained employment</w:t>
      </w:r>
    </w:p>
    <w:p>
      <w:pPr>
        <w:ind/>
      </w:pPr>
    </w:p>
    <w:p>
      <w:pPr>
        <w:ind/>
        <w:jc w:val="left"/>
      </w:pPr>
      <w:r>
        <w:rPr>
          <w:rFonts w:ascii="Times New Roman" w:hAnsi="Times New Roman" w:eastAsia="SimSun"/>
          <w:sz w:val="26"/>
          <w:szCs w:val="26"/>
          <w:b/>
          <w:bCs/>
        </w:rPr>
        <w:t xml:space="preserve">1  Introduction and Comparative Framework</w:t>
      </w:r>
    </w:p>
    <w:p>
      <w:pPr>
        <w:ind/>
      </w:pPr>
    </w:p>
    <w:p>
      <w:pPr>
        <w:ind w:firstLine="720"/>
      </w:pPr>
      <w:r>
        <w:rPr>
          <w:rFonts w:ascii="Times New Roman" w:hAnsi="Times New Roman" w:eastAsia="SimSun"/>
          <w:sz w:val="24"/>
          <w:szCs w:val="24"/>
        </w:rPr>
        <w:t xml:space="preserve">Whether students with special needs can secure and sustain paid employment after secondary-level special vocational education depends on the joint effect of four dimensions: policy and institutional positioning, curriculum and skill-certification arrangements, internship and job-cognition practice, and post-graduhip continuing workplace support (Carlson et al., 2020). Intellectual disability, autism, learning disabilities, and physical disabilities show large divergence in task execution, social communication, sensory regulation, and commuting safety. Possessing isolated technical competence does not guarantee adaptation to complex real-world workplace requirements (Basquial, 2026). Domestic Chinese empirical research indicates that numerous domestic special-vocational programmes overemphasise classroom-based skill drills, while systematic cross-department transition mechanisms connecting schools, disabled persons' federations, civil-affairs authorities, and enterprises remain underdeveloped (Zhang et al., 2023; Zhou, 2022). International systematic reviews identify major retention-influencing factors covering individual hard and soft vocational skills, workplace reasonable accommodation, natural supports from supervisors and co-workers, ongoing employment specialists' follow-up, family-welfare incentive balance, and macro-level quota and certification policies (Carlson et al., 2020).</w:t>
      </w:r>
    </w:p>
    <w:p>
      <w:pPr>
        <w:ind w:firstLine="720"/>
      </w:pPr>
      <w:r>
        <w:rPr>
          <w:rFonts w:ascii="Times New Roman" w:hAnsi="Times New Roman" w:eastAsia="SimSun"/>
          <w:sz w:val="24"/>
          <w:szCs w:val="24"/>
        </w:rPr>
        <w:t xml:space="preserve">This study defines the analytical unit as an urban-level special-vocational-education-and-employment-support system, avoiding the false equivalence of Shanghai and Kuala Lumpur as isomorphic administrative entities. Shanghai implements provincial-level special-vocational policies delivered through district-run secondary vocational schools (Shanghai Municipal Education Commission &amp; Shanghai Disabled Persons' Federation, 2017). Under Malaysia's federal administrative framework, functions are distributed across multiple bodies: Ministry of Education special-vocational schools, Social Welfare Department disability-employment services, sheltered workshops administered by the Ministry of Women, Family and Community Development, plus NGOs and corporate academies (Dai et al., 2023; Fan, 2026). This paper strictly restricts "Kuala Lumpur" to institutions inside the Federal Territory; Shah Alam, Klang, and Bangi belong to Greater Klang Valley and serve only as commuting-circle reference samples. Equally, the Shanghai sample is limited to the special-vocational class of Shanghai Fengxian Secondary Vocational School and cannot be taken to represent the entire Shanghai municipal special-vocational system; likewise, the Kuala Lumpur sample cannot represent all Malaysian states. These delimitations prevent overgeneralisation while still permitting mechanism-level comparison.</w:t>
      </w:r>
    </w:p>
    <w:p>
      <w:pPr>
        <w:ind w:firstLine="720"/>
      </w:pPr>
      <w:r>
        <w:rPr>
          <w:rFonts w:ascii="Times New Roman" w:hAnsi="Times New Roman" w:eastAsia="SimSun"/>
          <w:sz w:val="24"/>
          <w:szCs w:val="24"/>
        </w:rPr>
        <w:t xml:space="preserve">Existing East-Southeast-Asia comparative literature on special-vocational-to-work transition remains sparse. Most Chinese-language studies focus either on domestic local-case summaries or on introducing Western supported-employment models (Li, 2023; Xu &amp; Su, 2016). Malaysia's separated TVET-disability-welfare governance offers a valuable contrasting benchmark for China's school-dominated special-vocational development (Fan, 2026; Matthew, 2024). Against the background of increasing China-ASEAN vocational-education cooperation, comparative analysis of mature urban-level cases can provide practical references for small- and medium-size cities in Southeast Asia to construct their own transition systems (Pan &amp; Zhang, 2025).</w:t>
      </w:r>
    </w:p>
    <w:p>
      <w:pPr>
        <w:ind w:firstLine="720"/>
      </w:pPr>
      <w:r>
        <w:rPr>
          <w:rFonts w:ascii="Times New Roman" w:hAnsi="Times New Roman" w:eastAsia="SimSun"/>
          <w:sz w:val="24"/>
          <w:szCs w:val="24"/>
        </w:rPr>
        <w:t xml:space="preserve">A distinctive feature of this study is its explicit grounding in two complementary theoretical perspectives. School-to-work transition (STWT) theory treats the movement from education to employment not as a single placement event but as a multi-stage process involving vocational assessment, skill acquisition, work experience, job placement, and post-placement support (Xu &amp; Su, 2016; Megat Khalid et al., 2022). Supported employment theory, by contrast, focuses on the post-placement phase: individualised job matching, reasonable accommodation, ongoing job-coaching, and the gradual construction of natural workplace supports (Basquial, 2026; Carlson et al., 2020). Multi-centre governance theory supplies the macro-level lens: it explains how authority is distributed—or concentrated—across education, welfare, and labour-market actors, and how that distribution shapes the continuity and fragmentation of transition services (Fan, 2026; Matthew, 2024).</w:t>
      </w:r>
    </w:p>
    <w:p>
      <w:pPr>
        <w:ind w:firstLine="720"/>
      </w:pPr>
      <w:r>
        <w:rPr>
          <w:rFonts w:ascii="Times New Roman" w:hAnsi="Times New Roman" w:eastAsia="SimSun"/>
          <w:sz w:val="24"/>
          <w:szCs w:val="24"/>
        </w:rPr>
        <w:t xml:space="preserve">These theories are used to derive the four analytical dimensions rather than merely to decorate them. STWT theory suggests that transition outcomes depend on the quality of linkages between stages; consequently, the analysis examines curriculum and certification (the preparation stage), internship and job cognition (the bridging stage), and post-placement support (the sustainability stage) as a sequence, not as isolated topics. Supported employment theory draws attention to the distinction between placing a person in a job and sustaining that placement, which is why a separate dimension is devoted to continuous employment support. Multi-centre governance theory, finally, predicts that systems in which responsibility is concentrated in one sector will achieve standardisation but underdevelop cross-sector services, whereas systems with multiple autonomous centres will offer specialised services but struggle with coordination. This prediction is tested in the comparison that follows. The result is that the four dimensions are theoretically motivated, and the trade-off argument developed in Section 7 is not an impressionistic judgement but a deduction from governance theory.</w:t>
      </w:r>
    </w:p>
    <w:p>
      <w:pPr>
        <w:ind/>
      </w:pPr>
    </w:p>
    <w:p>
      <w:pPr>
        <w:ind/>
        <w:jc w:val="left"/>
      </w:pPr>
      <w:r>
        <w:rPr>
          <w:rFonts w:ascii="Times New Roman" w:hAnsi="Times New Roman" w:eastAsia="SimSun"/>
          <w:sz w:val="26"/>
          <w:szCs w:val="26"/>
          <w:b/>
          <w:bCs/>
        </w:rPr>
        <w:t xml:space="preserve">2  Policy Framework and Institutional Positioning</w:t>
      </w:r>
    </w:p>
    <w:p>
      <w:pPr>
        <w:ind/>
        <w:jc w:val="left"/>
      </w:pPr>
      <w:r>
        <w:rPr>
          <w:rFonts w:ascii="Times New Roman" w:hAnsi="Times New Roman" w:eastAsia="SimSun"/>
          <w:sz w:val="26"/>
          <w:szCs w:val="26"/>
          <w:b/>
          <w:bCs/>
        </w:rPr>
        <w:t xml:space="preserve">2.1  Shanghai: District-Level Special-Vocational Sites and Enterprise Incentives</w:t>
      </w:r>
    </w:p>
    <w:p>
      <w:pPr>
        <w:ind/>
      </w:pPr>
    </w:p>
    <w:p>
      <w:pPr>
        <w:ind w:firstLine="720"/>
      </w:pPr>
      <w:r>
        <w:rPr>
          <w:rFonts w:ascii="Times New Roman" w:hAnsi="Times New Roman" w:eastAsia="SimSun"/>
          <w:sz w:val="24"/>
          <w:szCs w:val="24"/>
        </w:rPr>
        <w:t xml:space="preserve">In 2017, Shanghai Municipal Education Commission together with Shanghai Disabled Persons' Federation issued Implementation Opinions on Strengthening the Management of Special Vocational Education, mandating each district to establish at least one district-level special secondary-vocational site targeting students with intellectual disabilities, autism, and cerebral palsy; densely populated districts may set up additional campuses (Shanghai Municipal Education Commission &amp; Shanghai Disabled Persons' Federation, 2017). In 2018, the municipal education commission published Shanghai Special Secondary Vocational Education School (Class) Curriculum Plan (Trial), applicable to intellectual disability, autism, and cerebral-palsy populations. The plan divides courses into public foundation, professional-vocational, and rehabilitation modules; legally requires individualised education plans (IEPs); guarantees apprenticeship and internship hours; and orients evaluation towards individualised career-development tracking (Shanghai Municipal Education Commission, 2018). In 2024, the commission's proposal reply reaffirmed that special schools must deliver life-adaptation and labour-skill courses under national curriculum frameworks, districts ought to provide career guidance and transition services, and special-vocational classes should strengthen students' employment adaptability via professional courses (Shanghai Municipal Education Commission, 2024). Shanghai's Three-Year Action Plan for Promoting the Employment of Persons with Disabilities (2025–2027) further requires dynamic tracking of employment status for disabled graduates within five years post-graduation, highlighting the practical demand for whole-cycle transition services (Shanghai Municipal People's Government, 2025).</w:t>
      </w:r>
    </w:p>
    <w:p>
      <w:pPr>
        <w:ind w:firstLine="720"/>
      </w:pPr>
      <w:r>
        <w:rPr>
          <w:rFonts w:ascii="Times New Roman" w:hAnsi="Times New Roman" w:eastAsia="SimSun"/>
          <w:sz w:val="24"/>
          <w:szCs w:val="24"/>
        </w:rPr>
        <w:t xml:space="preserve">At the general VET level, Shanghai's 15th Five-Year Plan for Education Development (2026–2030) prioritises industry-education integration, technical-skills talent development, and in-service training reform, signalling a continued expansion of mainstream vocational pathways against which special-vocational programmes are benchmarked (Shanghai Municipal Government, 2026a; Shanghai Municipal Education Commission, 2026). The municipal human-resources authority has further launched a Skills Enhancement Year action plan covering AI-application promotion, elderly-care and domestic-service training, alongside a pilot track for special vocational ability outside conventional qualification systems (Shanghai Municipal Human Resources and Social Security Bureau, 2026b). These macro policies furnish the standards environment in which special-needs vocational programmes in Fengxian may align selected modules with broader labour-market competencies, but they do not replace disability-specific transition supports such as job coaching and sheltered placement.</w:t>
      </w:r>
    </w:p>
    <w:p>
      <w:pPr>
        <w:ind w:firstLine="720"/>
      </w:pPr>
      <w:r>
        <w:rPr>
          <w:rFonts w:ascii="Times New Roman" w:hAnsi="Times New Roman" w:eastAsia="SimSun"/>
          <w:sz w:val="24"/>
          <w:szCs w:val="24"/>
        </w:rPr>
        <w:t xml:space="preserve">The Shanghai institutional model features "municipal top-level design + district-specific implementation + school-based IEP + internship-oriented school-enterprise docking". Its strengths lie in guaranteed enrolment access and standardised curriculum delivery. Its structural weakness is that enterprise-internship development heavily relies on schools' spontaneous outreach; ordinary market-oriented enterprises show low willingness to receive students with intellectual, autistic, and cerebral-palsy disabilities (Yang, 2021). This matches common dilemmas across Chinese regional special-vocational practice: policy documents exist on paper, yet institutionalised cross-agency collaboration between education, disabled-persons' federations, and market enterprises has not been fully realised (Zhang et al., 2023; Shen, 2019). Read through multi-centre governance theory, this is not simply a "weakness" to be repaired. Concentrating authority in the education sector produces uniform standards and reliable access, but it also means that employment services located outside the education system—in the disabled-persons' federation, civil affairs, or the labour market—remain weakly coupled to the school. The absence of third-party Job Coach services is thus an endogenous consequence of a school-led configuration, not an accidental omission.</w:t>
      </w:r>
    </w:p>
    <w:p>
      <w:pPr>
        <w:ind w:firstLine="720"/>
      </w:pPr>
      <w:r>
        <w:rPr>
          <w:rFonts w:ascii="Times New Roman" w:hAnsi="Times New Roman" w:eastAsia="SimSun"/>
          <w:sz w:val="24"/>
          <w:szCs w:val="24"/>
        </w:rPr>
        <w:t xml:space="preserve">Enterprise-side incentives for hiring persons with disabilities operate at both national and Shanghai municipal levels. Under the national Employment of Persons with Disabilities Regulations, employers must meet a provincially set employment ratio; those falling short pay a Disability Employment Security Fund (Canbaojin), creating a soft obligation rather than a punitive quota. Tax incentives include VAT immediate-refund capped at four times the local minimum wage per person per month, a 100% additional deduction for wages paid to disabled employees, and reductions or exemptions from urban land-use tax for eligible employers (Ministry of Finance et al., 2015; Shanghai Municipal Finance Bureau et al., 2020; Ministry of Finance, 2023). These measures lower the cost of integrating certified persons with disabilities, but do not directly cover special-education students without a disability certificate, who remain dependent on general internship and job-coaching arrangements. A critical boundary therefore runs through the incentive system itself: the fiscal benefits accrue only to those whose impairment status is formally recognised. Students in special-vocational classes who have not obtained a disability certificate fall outside the framework of the Canbaojin, VAT refunds, and wage deductions, even though their support needs may be identical to those of certificate holders. This creates a two-tier incentive landscape that the existing literature on Shanghai's employment policy does not fully address.</w:t>
      </w:r>
    </w:p>
    <w:p>
      <w:pPr>
        <w:ind/>
        <w:jc w:val="left"/>
      </w:pPr>
      <w:r>
        <w:rPr>
          <w:rFonts w:ascii="Times New Roman" w:hAnsi="Times New Roman" w:eastAsia="SimSun"/>
          <w:sz w:val="26"/>
          <w:szCs w:val="26"/>
          <w:b/>
          <w:bCs/>
        </w:rPr>
        <w:t xml:space="preserve">2.2  Kuala Lumpur: Multi-Sector Segmented Governance and Enterprise Incentives</w:t>
      </w:r>
    </w:p>
    <w:p>
      <w:pPr>
        <w:ind/>
      </w:pPr>
    </w:p>
    <w:p>
      <w:pPr>
        <w:ind w:firstLine="720"/>
      </w:pPr>
      <w:r>
        <w:rPr>
          <w:rFonts w:ascii="Times New Roman" w:hAnsi="Times New Roman" w:eastAsia="SimSun"/>
          <w:sz w:val="24"/>
          <w:szCs w:val="24"/>
        </w:rPr>
        <w:t xml:space="preserve">At Malaysia's federal level, the Ministry of Education administers SMPKV (Sekolah Menengah Pendidikan Khas Vokasional) for students with learning disabilities. The Social Welfare Department (JKM; Jabatan Kebajikan Masyarakat) delivers vocational assessment and continuing employment support through the nationwide Job Coach network, district social-welfare offices, PLPP, and PPDK service outlets (Jabatan Kebajikan Masyarakat, n.d.). The Ministry of Women, Family and Community Development (KPWKM) manages sheltered workshops such as Bengkel Daya. Local NGOs and corporate foundations supplement pre-vocational preparation for autism and developmental-disorder youth. It is not run by a unified Kuala Lumpur special-education bureau; services are segmented according to target groups and service stages (Dai et al., 2023; Yusop, 2024). Multi-sector segmentation is a defining characteristic of Malaysia's vocational-welfare governance, while institutional fragmentation easily generates service gaps without coordinated interdepartmental mechanisms (Fan, 2026; Manaf et al., 2019).</w:t>
      </w:r>
    </w:p>
    <w:p>
      <w:pPr>
        <w:ind w:firstLine="720"/>
      </w:pPr>
      <w:r>
        <w:rPr>
          <w:rFonts w:ascii="Times New Roman" w:hAnsi="Times New Roman" w:eastAsia="SimSun"/>
          <w:sz w:val="24"/>
          <w:szCs w:val="24"/>
        </w:rPr>
        <w:t xml:space="preserve">This multi-sector configuration must therefore be read against the broader structural constraints of Malaysian TVET. The system is predominantly school-based, its teachers frequently lack industrial experience, multiple certification and quality-assurance regimes operate in parallel, no single body coordinates the overall TVET system, and access for students with special needs and minority groups remains limited (Mustapha, 2017). At the same time, core implementation challenges have been identified in training-institution management, curriculum interpretation, physical facilities, financial resources, and the alignment of graduates with industry demand; DSD and MQA share oversight responsibilities under the 12th Malaysia Plan (Ismail &amp; Zainal Abiddin, 2014; Jamaludin et al., 2023). These structural features explain why special-vocational provision cannot be understood as a self-contained school function: its effectiveness depends on the coherence of the wider TVET-governance architecture.</w:t>
      </w:r>
    </w:p>
    <w:p>
      <w:pPr>
        <w:ind w:firstLine="720"/>
      </w:pPr>
      <w:r>
        <w:rPr>
          <w:rFonts w:ascii="Times New Roman" w:hAnsi="Times New Roman" w:eastAsia="SimSun"/>
          <w:sz w:val="24"/>
          <w:szCs w:val="24"/>
        </w:rPr>
        <w:t xml:space="preserve">Malaysia Ministry of Education (2017) annual blueprint report records four national-level SMPKV campuses located in Shah Alam, Kuantan, Indahpura, and Merbok, offering 25 SKM (Sijil Kemahiran Malaysia) Level 1–3 programmes. In 2017 upper-secondary enrolment totalled 785 students, and 218 candidates participated in official JPK skill assessments (Malaysia Ministry of Education, 2017). Special-vocational training is formally embedded within national TVET certification frameworks. Among these four campuses, SMPKV Shah Alam sits within Klang Valley commuting radius and serves as the most-cited metropolitan-area research sample.</w:t>
      </w:r>
    </w:p>
    <w:p>
      <w:pPr>
        <w:ind w:firstLine="720"/>
      </w:pPr>
      <w:r>
        <w:rPr>
          <w:rFonts w:ascii="Times New Roman" w:hAnsi="Times New Roman" w:eastAsia="SimSun"/>
          <w:sz w:val="24"/>
          <w:szCs w:val="24"/>
        </w:rPr>
        <w:t xml:space="preserve">The JKM Job Coach programme serves all officially registered Persons with Disabilities (OKU; Orang Kurang Upaya). Core functions include individual client assessment, workplace environmental assessment, job matching, intensive on-site support, building natural-support relationships between employees and co-workers, and long-term follow-up. Employers may apply for this public service through the Job Coach network, receiving a subsidy of RM 15 per working hour, capped at 60 hours and a maximum of RM 900 for each disabled employee placement (Yusop, 2024; Jabatan Kebajikan Masyarakat, n.d.). This institutionalises post-school external employment support. Nevertheless, existing studies point out practical limitations: insufficient numbers of formally certified Job Coaches, low awareness among SMEs, uneven task-analysis professional competence, and weak long-term matching effects (Matthew, 2024; Penang Institute, n.d.). Externally managed supported employment represents a mature international transition-service paradigm (Xu &amp; Su, 2016).</w:t>
      </w:r>
    </w:p>
    <w:p>
      <w:pPr>
        <w:ind w:firstLine="720"/>
      </w:pPr>
      <w:r>
        <w:rPr>
          <w:rFonts w:ascii="Times New Roman" w:hAnsi="Times New Roman" w:eastAsia="SimSun"/>
          <w:sz w:val="24"/>
          <w:szCs w:val="24"/>
        </w:rPr>
        <w:t xml:space="preserve">At the employer-incentive level, Malaysia imposes no mandatory hiring quota for private enterprises. The Persons with Disabilities Act 2008 (Act 685) establishes anti-discrimination, equal-opportunity, and reasonable-accommodation obligations, but does not prescribe a fixed percentage of employees who must be persons with disabilities (Malaysia, 2008). Economic incentives are delivered chiefly through JKM services—PLPP (Program Latihan Sangkutan Pekerjaan), PPDK training centres, and Job Coach placement support—which reduce employers' recruitment and on-boarding risks rather than through large-scale tax rebates (Jabatan Kebajikan Masyarakat, n.d.). Tax-relief measures for employers hiring persons with disabilities remain less explicit in official guidance than in Shanghai, and any claims of employer-specific deductions should be verified against current Inland Revenue Board of Malaysia provisions (Lembaga Hasil Dalam Negeri Malaysia, n.d.). The contrast with Shanghai is instructive: Malaysia relies on service provision and legal obligation, whereas Shanghai combines legal obligation with substantial fiscal instruments. Neither approach, however, fully resolves the status gap faced by special-education students without a formal disability certificate.</w:t>
      </w:r>
    </w:p>
    <w:p>
      <w:pPr>
        <w:ind/>
      </w:pPr>
    </w:p>
    <w:p>
      <w:pPr>
        <w:ind/>
        <w:jc w:val="left"/>
      </w:pPr>
      <w:r>
        <w:rPr>
          <w:rFonts w:ascii="Times New Roman" w:hAnsi="Times New Roman" w:eastAsia="SimSun"/>
          <w:sz w:val="26"/>
          <w:szCs w:val="26"/>
          <w:b/>
          <w:bCs/>
        </w:rPr>
        <w:t xml:space="preserve">3  Curriculum, Training Pathways, and Skill Certification</w:t>
      </w:r>
    </w:p>
    <w:p>
      <w:pPr>
        <w:ind/>
        <w:jc w:val="left"/>
      </w:pPr>
      <w:r>
        <w:rPr>
          <w:rFonts w:ascii="Times New Roman" w:hAnsi="Times New Roman" w:eastAsia="SimSun"/>
          <w:sz w:val="26"/>
          <w:szCs w:val="26"/>
          <w:b/>
          <w:bCs/>
        </w:rPr>
        <w:t xml:space="preserve">3.1  Shanghai Fengxian Secondary Vocational School Special-Vocational Class: Four-Year Culinary-Oriented Training With Dual-Layer On-Campus-Off-Campus Practice</w:t>
      </w:r>
    </w:p>
    <w:p>
      <w:pPr>
        <w:ind/>
      </w:pPr>
    </w:p>
    <w:p>
      <w:pPr>
        <w:ind w:firstLine="720"/>
      </w:pPr>
      <w:r>
        <w:rPr>
          <w:rFonts w:ascii="Times New Roman" w:hAnsi="Times New Roman" w:eastAsia="SimSun"/>
          <w:sz w:val="24"/>
          <w:szCs w:val="24"/>
        </w:rPr>
        <w:t xml:space="preserve">Fengxian District launched its first special-vocational class in September 2017 at Shanghai Industrial and Commercial Technical School. In January 2020 the whole programme transferred to Shanghai Fengxian Secondary Vocational School and formally became its Special-Vocational Class. It delivers a four-year Chinese Cuisine Cooking and Nutrition major; 53 students were enrolled in 2021 (Eastday Education, 2021). Its outer curriculum framework strictly follows the municipal-level Shanghai Special Secondary Vocational Education School (Class) Curriculum Plan (Trial). Public foundation courses contain professional ethics, legal literacy, and career planning. Major professional courses centre on Chinese-style cooking, supplemented by pastry-making, housekeeping, interpersonal-communication, and cleaning-skill modules. Rehabilitation and individualised support modules compensate functional deficits and improve self-care and social-adaptation competence (Shanghai Municipal Education Commission, 2018; Fengxian Secondary Vocational School, 2026a).</w:t>
      </w:r>
    </w:p>
    <w:p>
      <w:pPr>
        <w:ind w:firstLine="720"/>
      </w:pPr>
      <w:r>
        <w:rPr>
          <w:rFonts w:ascii="Times New Roman" w:hAnsi="Times New Roman" w:eastAsia="SimSun"/>
          <w:sz w:val="24"/>
          <w:szCs w:val="24"/>
        </w:rPr>
        <w:t xml:space="preserve">A conceptual clarification is necessary here. In the Shanghai context, IEPs (individualised education plans) function primarily as classroom-rehabilitation planning tools: they set goals for functional compensation, self-care, and social adaptation within the school environment. They are distinct from what may be termed vocational-transition IEPs—documents that would specify job-task analysis, workplace accommodation, post-placement support arrangements, and retention checkpoints. The absence of the latter is the central institutional pain point of the Fengxian model. Similarly, the certificate landscape needs to be kept separate: a diploma (such as the four-year Chinese Cuisine Cooking and Nutrition major) is a programme-completion credential; a micro-credential is a short, modular competency statement (such as the Overpass Project modules); and SKM is a national occupational-skill certificate issued through the Malaysian JPK framework. Treating these as interchangeable obscures the different labour-market recognition each carries.</w:t>
      </w:r>
    </w:p>
    <w:p>
      <w:pPr>
        <w:ind w:firstLine="720"/>
      </w:pPr>
      <w:r>
        <w:rPr>
          <w:rFonts w:ascii="Times New Roman" w:hAnsi="Times New Roman" w:eastAsia="SimSun"/>
          <w:sz w:val="24"/>
          <w:szCs w:val="24"/>
        </w:rPr>
        <w:t xml:space="preserve">Its practical-training system adopts three-tiered design. First tier: on-campus professional skill training. Dedicated cooking laboratories deliver Chinese-cuisine, Western pastry, and dim-sum practical sessions. In May 2026 Fengxian Secondary Vocational School held demonstration activities of potato-cake and milk-crust-cup production for visiting students and parents from Huimin School at the Xinyuan Xiaoshe coffee-practice base (Fengxian Secondary Vocational School, 2026b). Second tier: on-campus integrated job-cognition practice. The Xinyuan Xiaoshe on-campus coffee base commenced operation around 2021. Special-education students take mixed-group classes alongside ordinary hotel-major students, practising coffee-brewing, customer-service, and workplace cognition. Several graduates later took summer part-time posts in external commercial coffee shops (Fengxian District Government, 2023). Third tier: the Overpass Project supplementary single-subject courses. In spring semester 2026, responding to individualised requirements from special-education institutions across Changning, Pudong, Fengxian, and Xuhui districts, it opened modular short courses including domestic-cleaning practice, communication-etiquette, household-management, Chinese-Western pastry-making, food-nutrition, and food-hygiene for current-enrolment and graduated special-needs students (Fengxian Secondary Vocational School, 2026a).</w:t>
      </w:r>
    </w:p>
    <w:p>
      <w:pPr>
        <w:ind w:firstLine="720"/>
      </w:pPr>
      <w:r>
        <w:rPr>
          <w:rFonts w:ascii="Times New Roman" w:hAnsi="Times New Roman" w:eastAsia="SimSun"/>
          <w:sz w:val="24"/>
          <w:szCs w:val="24"/>
        </w:rPr>
        <w:t xml:space="preserve">Deficiencies of the Fengxian model are clear. First, diploma-level formal major offerings concentrate heavily on Chinese culinary arts. Although the Overpass Project expands skill categories, compared with SMPKV's multi-trade settings, skill-type coverage remains relatively narrow. Second, despite municipal curriculum requirements for mandatory internships, city-wide practical investigations consistently reflect difficulties sourcing enterprise-based internships for intellectual-disability, autism, and cerebral-palsy students. Concentrated cohorts, simple repetitive posts, and reliance on financial subsidies to sustain placements are widespread phenomena (Yang, 2021). Third, the employability of special-education students must be assessed against employer-valued work-readiness skills rather than vocational-task mastery alone. A conceptual framework developed in Malaysian special-education vocational schools identifies communication, adaptability, and self-advocacy as foundational, alongside structured work experience in authentic settings, appropriate accommodation and assistive technology, and collaboration among educators, employers, and policymakers (Mastam &amp; Zaharudin, 2024).</w:t>
      </w:r>
    </w:p>
    <w:p>
      <w:pPr>
        <w:ind w:firstLine="720"/>
      </w:pPr>
      <w:r>
        <w:rPr>
          <w:rFonts w:ascii="Times New Roman" w:hAnsi="Times New Roman" w:eastAsia="SimSun"/>
          <w:sz w:val="24"/>
          <w:szCs w:val="24"/>
        </w:rPr>
        <w:t xml:space="preserve">A pilot study of 31 special-education students at UPSI and USM found that self-rated work ability (M = 3.71) and perceived suitability between skills and job profile (M = 4.33) were both high; the authors therefore argue that ability-to-perform and job-profile matching should guide instruction for learners with learning disabilities (Othman et al., 2024). Taken together, these studies suggest that SKM certification should be treated as a credential outcome, not a substitute for work-readiness development or for systematic person-job matching. The implication for Fengxian is that expanding micro-credential options addresses skill breadth but does not, by itself, resolve the matching problem.</w:t>
      </w:r>
    </w:p>
    <w:p>
      <w:pPr>
        <w:ind/>
        <w:jc w:val="left"/>
      </w:pPr>
      <w:r>
        <w:rPr>
          <w:rFonts w:ascii="Times New Roman" w:hAnsi="Times New Roman" w:eastAsia="SimSun"/>
          <w:sz w:val="26"/>
          <w:szCs w:val="26"/>
          <w:b/>
          <w:bCs/>
        </w:rPr>
        <w:t xml:space="preserve">3.2  Kuala Lumpur Metropolitan Area: SMPKV National Skill-Certification System and Multi-Institutional Diversion Pathways</w:t>
      </w:r>
    </w:p>
    <w:p>
      <w:pPr>
        <w:ind/>
      </w:pPr>
    </w:p>
    <w:p>
      <w:pPr>
        <w:ind w:firstLine="720"/>
      </w:pPr>
      <w:r>
        <w:rPr>
          <w:rFonts w:ascii="Times New Roman" w:hAnsi="Times New Roman" w:eastAsia="SimSun"/>
          <w:sz w:val="24"/>
          <w:szCs w:val="24"/>
        </w:rPr>
        <w:t xml:space="preserve">SMPKV Shah Alam resides in Shah Alam, Selangor, within Klang Valley commuting zone. Originally serving hearing-impaired learners, its admission scope later expanded to students with learning disabilities. Public-visit documentation identifies it as a JPK-accredited assessment centre, offering ladies' garment-making, food-preparation, hairdressing, air-conditioning installation and maintenance, welding, building-construction, furniture-making, electrical work, hand-drawn batik, and desktop-publishing (WALS, 2022; International Journal of Creative Writing and English Literature, 2021). According to Malaysia Ministry of Education (2017), national SMPKV institutions provide 25 different SKM Level 1–3 courses; Shah Alam's concrete course levels adjust annually following JPK certification standards. Its training logic runs as: secondary-vocational phase, comply with JPK occupational-skill standards, obtain SKM certificate, and open-market employment or further TVET study. Contrasted against Fengxian's culinary diploma plus on-campus-coffee-base model, SMPKV operates multiple parallel industrial and service trades, with certification systems closely linked to external labour-market requirements. Malaysia's dual-qualification-framework TVET system provides the institutional foundation for this certification-driven special-vocational pathway (Dai et al., 2023).</w:t>
      </w:r>
    </w:p>
    <w:p>
      <w:pPr>
        <w:ind w:firstLine="720"/>
      </w:pPr>
      <w:r>
        <w:rPr>
          <w:rFonts w:ascii="Times New Roman" w:hAnsi="Times New Roman" w:eastAsia="SimSun"/>
          <w:sz w:val="24"/>
          <w:szCs w:val="24"/>
        </w:rPr>
        <w:t xml:space="preserve">PPKI (Special-Education Integrated Programme), embedded within mainstream secondary schools, may enter vocational tracks through basic-vocational courses, micro-credentials, or transfer to Kolej Vokasional to pursue SKM pathways. This route suits mild-to-moderate disability students possessing foundational literacy and self-care abilities; it is less applicable for severe intellectual disability or persons requiring long-term behavioural intervention. Verified 2026 empirical data on PPKI micro-credential pilots within Kuala Lumpur-Selangor are absent, so coverage-rate inferences are avoided.</w:t>
      </w:r>
    </w:p>
    <w:p>
      <w:pPr>
        <w:ind w:firstLine="720"/>
      </w:pPr>
      <w:r>
        <w:rPr>
          <w:rFonts w:ascii="Times New Roman" w:hAnsi="Times New Roman" w:eastAsia="SimSun"/>
          <w:sz w:val="24"/>
          <w:szCs w:val="24"/>
        </w:rPr>
        <w:t xml:space="preserve">Wisma Harapan Brickfields sits inside Kuala Lumpur Federal Territory, targeting autism, Down-syndrome, and learning-disability young people aged 18–25 and older (MIND/SAMH, n.d.-a; Star/MIND, 2018). It delivers life-skill training, general handicraft-making, sewing, pre-employment preparation, job-placement assistance, and behaviour-management support. It does not primarily issue national-level SKM diplomas; its core positioning is bridging special-education graduation toward employment transition. It conducts individualised vocational-behaviour training for ASD and multiple-developmental-disorder groups before connecting clients to open-market or transitional-job positions via Job Coach and cooperative-enterprise resources.</w:t>
      </w:r>
    </w:p>
    <w:p>
      <w:pPr>
        <w:ind w:firstLine="720"/>
      </w:pPr>
      <w:r>
        <w:rPr>
          <w:rFonts w:ascii="Times New Roman" w:hAnsi="Times New Roman" w:eastAsia="SimSun"/>
          <w:sz w:val="24"/>
          <w:szCs w:val="24"/>
        </w:rPr>
        <w:t xml:space="preserve">Bengkel Daya Klang (under KPWKM-JKM) serves registered OKU aged 18–45 including moderate learning-disability and physical-disability persons. Operational units contain sewing-embroidery, bread-pastry baking, laundry, retail, and catering. It is defined as a sheltered-skill-development and transitional-employment venue for those unable to compete directly within open-labour markets (Jabatan Kebajikan Masyarakat, n.d.; Bernama, 2024). In 2024 KPWKM announced cooperation with Gardenia KL to upgrade baking-programme capacity, showing sheltered workshops may leverage corporate technical resources to improve product quality and expand transitional-job quotas (Bernama, 2024). Critical limitation: sheltered-workshop internal production participation cannot be equated with open-market competitive employment retention. Comparative research repeatedly warns against conflating sheltered-workshop attendance statistics with competitive-employment outcome indicators (Xu &amp; Su, 2016; Matthew, 2024). The distinction between job-shadowing (short-term observational exposure), internship (structured supervised work experience), sheltered employment (work in a segregated setting), and competitive open-market employment (paid work under ordinary conditions) is essential and is maintained throughout this paper.</w:t>
      </w:r>
    </w:p>
    <w:p>
      <w:pPr>
        <w:ind w:firstLine="720"/>
      </w:pPr>
      <w:r>
        <w:rPr>
          <w:rFonts w:ascii="Times New Roman" w:hAnsi="Times New Roman" w:eastAsia="SimSun"/>
          <w:sz w:val="24"/>
          <w:szCs w:val="24"/>
        </w:rPr>
        <w:t xml:space="preserve">PLPP Bangi provides adult physical-disability rehabilitation and skill-training for ages 18–40. Programmes cover Office-Management SKM Level 2, electrical installation, prosthetic-orthotic production, metal- and wheelchair manufacturing, fine-arts, and batik-craft. JKM lists PLPP Bangi as an official Job-Coach service-delivery site (Jabatan Kebajikan Masyarakat, n.d.; Borneo Post, 2011). It complements SMPKV provision by focusing upon physical-disability groups, including high-technical-content trades such as prosthetics and electrical-installation. Its primary service population excludes autism and intellectual-disability cohorts; hence direct one-to-one comparison with Fengxian's culinary-focused special-class is inappropriate.</w:t>
      </w:r>
    </w:p>
    <w:p>
      <w:pPr>
        <w:ind/>
      </w:pPr>
    </w:p>
    <w:p>
      <w:pPr>
        <w:ind/>
        <w:jc w:val="left"/>
      </w:pPr>
      <w:r>
        <w:rPr>
          <w:rFonts w:ascii="Times New Roman" w:hAnsi="Times New Roman" w:eastAsia="SimSun"/>
          <w:sz w:val="26"/>
          <w:szCs w:val="26"/>
          <w:b/>
          <w:bCs/>
        </w:rPr>
        <w:t xml:space="preserve">4  Evaluation of Off-Campus Internship Resources in Fengxian</w:t>
      </w:r>
    </w:p>
    <w:p>
      <w:pPr>
        <w:ind/>
      </w:pPr>
    </w:p>
    <w:p>
      <w:pPr>
        <w:ind w:firstLine="720"/>
      </w:pPr>
      <w:r>
        <w:rPr>
          <w:rFonts w:ascii="Times New Roman" w:hAnsi="Times New Roman" w:eastAsia="SimSun"/>
          <w:sz w:val="24"/>
          <w:szCs w:val="24"/>
        </w:rPr>
        <w:t xml:space="preserve">Fengxian's off-campus internship resources cannot be simply labelled "sufficient" or "insufficient." Synthesising school, district-government, and municipal-level policy-related materials from 2021–2026, its realistic status can be summarised as: stable-functioning on-campus job-cognition bases; expanding-quantity district-level job-shadowing sites; preliminary-scale cross-agency public-welfare supplementary practice platforms; yet structural bottlenecks persist for authentic commercial-enterprise placements targeting intellectual-disability, autism, and cerebral-palsy students (Fengxian District Government, 2023). Internship-base construction constitutes a universal bottleneck for China's special-vocational-education development; sheer quantity of practice sites does not automatically produce high-quality transition outcomes (Li, 2023; Zhang et al., 2023).</w:t>
      </w:r>
    </w:p>
    <w:p>
      <w:pPr>
        <w:ind w:firstLine="720"/>
      </w:pPr>
      <w:r>
        <w:rPr>
          <w:rFonts w:ascii="Times New Roman" w:hAnsi="Times New Roman" w:eastAsia="SimSun"/>
          <w:sz w:val="24"/>
          <w:szCs w:val="24"/>
        </w:rPr>
        <w:t xml:space="preserve">On-campus job-cognition bases maintain stable supply. In December 2021 the Xinyuan Xiaoshe practice base was built on-school premises, converting real-world job-tasks into curriculum-embedded skill-practice activities and offering multi-scenario pre-social-integration training (Fengxian Secondary Vocational School, 2021). Advantages include safety environment, ongoing teacher accompaniment, and continuous IEP-data accumulation. Deficiencies stem from gaps compared with real-commercial-store conditions: customer-traffic intensity, shift-rotation rhythms, formal-salary-management mechanisms, and authentic colleague-interaction contexts are all simplified inside campus settings.</w:t>
      </w:r>
    </w:p>
    <w:p>
      <w:pPr>
        <w:ind w:firstLine="720"/>
      </w:pPr>
      <w:r>
        <w:rPr>
          <w:rFonts w:ascii="Times New Roman" w:hAnsi="Times New Roman" w:eastAsia="SimSun"/>
          <w:sz w:val="24"/>
          <w:szCs w:val="24"/>
        </w:rPr>
        <w:t xml:space="preserve">District-level off-campus job-shadowing bases keep increasing in total number but exhibit large divergence in job-type quality. In May 2026 third-year special-education students completed one-week-long grouped job-shadowing rotations at Xifan Agriculture, Zhai Ka Car Wash, Charity Supermarket, and Yichong Experience-Center. Groups were allocated according to personal interests and ability levels, receiving enterprise-mentor training covering agricultural-work, car-washing, charity-retail, and pet-experience-service posts (Shanghai Vocational Education Online, 2026). Within the same month, shadowing projects at Fengxian Charity Supermarket involved garment-sorting, shelf-display, and basic coffee-making duties (Xianchuang Public Welfare Service Center, Fengxian District, 2026). These activities are best understood as job-shadowing—brief, observational, and low-intensity—rather than full internships involving sustained task performance and wage relations. The distinction matters for outcome assessment: job-shadowing measures exposure, whereas internship measures integration.</w:t>
      </w:r>
    </w:p>
    <w:p>
      <w:pPr>
        <w:ind w:firstLine="720"/>
      </w:pPr>
      <w:r>
        <w:rPr>
          <w:rFonts w:ascii="Times New Roman" w:hAnsi="Times New Roman" w:eastAsia="SimSun"/>
          <w:sz w:val="24"/>
          <w:szCs w:val="24"/>
        </w:rPr>
        <w:t xml:space="preserve">Nevertheless, three structural constraints remain when evaluating whether these resources can deliver high-quality transition support for all special-education students. First, partial practice-jobs are excessively simplistic with low social-interaction load. Media field-investigations document roles such as farm-soil-turning or laundry-bag-packing: tasks are technically easy yet contain minimal customer-contact opportunities, offering insufficient workplace-challenge for higher-ability special-needs students (Tencent News, 2024; China Youth Online, 2025). Second, enterprise-reception-scale mismatches disability-group characteristics. Municipal special-vocational policies require minimum-half-year internship durations. However, students with intellectual-disability, autism, or cerebral-palsy typically need clustered, low-risk, simplified-operation posts, which ordinary commercial enterprises rarely provide in batches (Yang, 2021; Shanghai Municipal Women and Children Work Committee, 2021). Third, conversion pathways toward long-term formal employment remain narrow. District-government public materials indicate approximately 30% of special-education students obtain social-job-practice experience, while the proportion securing stable long-term full-time enterprise employment is markedly lower. Root causes contain low enterprise acceptance willingness, family trade-offs between wage-income versus subsistence-allowance eligibility, shortage of progressive multi-step social-adaptation posts, plus short-term internships difficult to convert into permanent positions (Fengxian District Government, 2023).</w:t>
      </w:r>
    </w:p>
    <w:p>
      <w:pPr>
        <w:ind w:firstLine="720"/>
      </w:pPr>
      <w:r>
        <w:rPr>
          <w:rFonts w:ascii="Times New Roman" w:hAnsi="Times New Roman" w:eastAsia="SimSun"/>
          <w:sz w:val="24"/>
          <w:szCs w:val="24"/>
        </w:rPr>
        <w:t xml:space="preserve">This supply-side constraint is further illuminated by Malaysian evidence on school-to-work transition. A mixed-methods study reports that, despite education and vocational training, persons with disabilities in Malaysia continue to experience high unemployment, reflecting a school-to-work transition gap rooted in the absence of a dedicated transition policy; a comparison of employed and unemployed persons identified job-related skills and positive psychological traits as the variables that differentiated employment outcomes (Abdullah, 2012). From the perspective of classroom practice, parental involvement in the career transition of students with learning disabilities in the Special Education Integration Programme has been found to be stronger in suburban than in urban schools, operating through IEP execution, support and encouragement, contribution of ideas and needs, commercialisation of student work, and post-school job search; barriers include parental disinterest, work commitments, and the transfer of full responsibility to teachers (Abdullah &amp; Ibrahim, 2021). The Fengxian case should consequently be interpreted not as a failure of internship-site quantity, but as the domestic counterpart of a wider systemic transition gap that requires explicit transition planning and family engagement rather than reliance on school-led placement alone.</w:t>
      </w:r>
    </w:p>
    <w:p>
      <w:pPr>
        <w:ind w:firstLine="720"/>
      </w:pPr>
      <w:r>
        <w:rPr>
          <w:rFonts w:ascii="Times New Roman" w:hAnsi="Times New Roman" w:eastAsia="SimSun"/>
          <w:sz w:val="24"/>
          <w:szCs w:val="24"/>
        </w:rPr>
        <w:t xml:space="preserve">Policy-and-funding frameworks exist at institutional level yet practical execution depends heavily upon district-school multi-party coordination. At municipal level, the 2017 special-vocational-management opinion stipulates one district-level campus minimum requirement; the 2018 curriculum plan formalises apprenticeship-internship time-quotas; the 2024 proposal reply emphasises internship guarantee and cites regional school-enterprise-cooperation examples, revising curriculum frameworks to strengthen employment-and-entrepreneurship competence cultivation (Shanghai Municipal Education Commission &amp; Shanghai Disabled Persons' Federation, 2017; Shanghai Municipal Education Commission, 2018, 2024). Locally, Fengxian coordinates District-Education-Bureau, Disabled-Persons'-Federation, schools, and enterprise partners, implementing tuition-fee, miscellaneous-fee, meals-and-clothing waivers, complemented by Jianneng public-welfare practice-bases, AEG special-funds, and school-social-worker linkage mechanisms (Eastday Education, 2021). Public-domain documents have not fully verified special-purpose financial subsidies directly given to enterprises receiving special-student interns. Yang Qiping's policy proposal advocates constructing district-level dedicated internship-bases, implementing financial-subsidy mechanisms for receiving-enterprises, and custom-designing posts balancing safety and individualised-needs; this represents a viable policy-optimisation direction for Fengxian's future development (Yang, 2021).</w:t>
      </w:r>
    </w:p>
    <w:p>
      <w:pPr>
        <w:ind w:firstLine="720"/>
      </w:pPr>
      <w:r>
        <w:rPr>
          <w:rFonts w:ascii="Times New Roman" w:hAnsi="Times New Roman" w:eastAsia="SimSun"/>
          <w:sz w:val="24"/>
          <w:szCs w:val="24"/>
        </w:rPr>
        <w:t xml:space="preserve">To sum up: Fengxian's off-campus internship resources have achieved progressive diversification of practice-site categories, possess room for quantity-expansion, yet exhibit uneven depth of authentic-workplace immersion. It cannot be treated as possessing a mature open-market-employment-base system. The central mechanism-level finding is that increasing the number of placement sites does not, by itself, increase the proportion of students who transition into sustained competitive employment; what is missing is the intermediate link of individualised job matching and post-placement support.</w:t>
      </w:r>
    </w:p>
    <w:p>
      <w:pPr>
        <w:ind/>
      </w:pPr>
    </w:p>
    <w:p>
      <w:pPr>
        <w:ind/>
        <w:jc w:val="left"/>
      </w:pPr>
      <w:r>
        <w:rPr>
          <w:rFonts w:ascii="Times New Roman" w:hAnsi="Times New Roman" w:eastAsia="SimSun"/>
          <w:sz w:val="26"/>
          <w:szCs w:val="26"/>
          <w:b/>
          <w:bCs/>
        </w:rPr>
        <w:t xml:space="preserve">5  Job Coach and Continuous Employment Support</w:t>
      </w:r>
    </w:p>
    <w:p>
      <w:pPr>
        <w:ind/>
      </w:pPr>
    </w:p>
    <w:p>
      <w:pPr>
        <w:ind w:firstLine="720"/>
      </w:pPr>
      <w:r>
        <w:rPr>
          <w:rFonts w:ascii="Times New Roman" w:hAnsi="Times New Roman" w:eastAsia="SimSun"/>
          <w:sz w:val="24"/>
          <w:szCs w:val="24"/>
        </w:rPr>
        <w:t xml:space="preserve">Continuous post-placement employment-support constitutes this paper's core comparative dimension. Public-available documentation from Fengxian does not record regularised third-party Job-Coach staffing arrangements. Off-campus internships in coffee-shops, housekeeping-services, and document-archiving projects are mainly supervised by school teachers, enterprise-store-managers, and class-teachers. Its support logic follows "school-teacher-led, enterprise-coordinated, parent-supervised." Strengths: teachers hold continuous understanding of students' disability background, IEP records, and household-circumstances. Deficiencies: lack professional workplace-task-analysis competence, absence of standardised reasonable-accommodation protocols, and lack of formal external regular-workplace-review mechanisms. Domestic-scholarship research points out inherent capacity constraints when relying purely on in-school teachers to deliver post-graduation employment-follow-up: teachers lack systematic supported-employment training and are bound by heavy regular-teaching workloads (Yin, 2022; Zhang et al., 2023).</w:t>
      </w:r>
    </w:p>
    <w:p>
      <w:pPr>
        <w:ind w:firstLine="720"/>
      </w:pPr>
      <w:r>
        <w:rPr>
          <w:rFonts w:ascii="Times New Roman" w:hAnsi="Times New Roman" w:eastAsia="SimSun"/>
          <w:sz w:val="24"/>
          <w:szCs w:val="24"/>
        </w:rPr>
        <w:t xml:space="preserve">Malaysia's JKM Job-Coach system implements the classic six-step supported-employment workflow: individual assessment, workplace-environment assessment, job-matching, intensive on-site support, natural-support-system construction, and long-term follow-up (Yusop, 2024; Asia-Pacific Development Center on Disability, n.d.). Illustrated by a supermarket-placement case: the Job Coach first investigates commuting-safety and shift-system constraints and arranges only day-shift rosters. Within the first employment week, enterprise HR delivers general-staff induction training; meanwhile, the Job Coach decomposes complex verbal instructions into single-step demonstrative guidance. Next, coaches conduct training for supervisors and co-workers to build natural-support relationships, gradually reduce on-site presence intensity, and maintain telephone contact plus periodic return-visits. This workflow applies across learning-disability, autism, and physical-disability populations. JKM fiscal-subsidies and the Job-Coach Network reduce employer-cost burdens. Nevertheless, limiting factors remain: limited quantity of nationally certified coaches, uneven state-level coverage, and insufficient employer-community awareness (Yusop, 2024; Penang Institute, n.d.). Even with formal Job-Coach institutions, multi-agency governance fragmentation may impair final service-effectiveness (Fan, 2026; Matthew, 2024).</w:t>
      </w:r>
    </w:p>
    <w:p>
      <w:pPr>
        <w:ind w:firstLine="720"/>
      </w:pPr>
      <w:r>
        <w:rPr>
          <w:rFonts w:ascii="Times New Roman" w:hAnsi="Times New Roman" w:eastAsia="SimSun"/>
          <w:sz w:val="24"/>
          <w:szCs w:val="24"/>
        </w:rPr>
        <w:t xml:space="preserve">Autism-targeted support also draws upon corporate-academy and shopping-mall-based demonstration projects. Yayasan Gamuda Enabling Academy conducts assessments for autistic adults aged above 21, delivers soft-skill training over three-month cycles, completes enterprise matching, and provides post-hiring coaching support; partner companies assign dedicated supervisors and buddies. Project practice mitigates sensory-conflicts and executive-function pressures via fixed-work processes, scheduled short breaks, and workplace-sensitivity training (Gamuda, n.d.). 1 Utama AmazeWork project utilises multiple-mall-tenant-enterprises as employers, establishes sensory-relaxation pods, and deploys Job Coaches to restructure real-world workflows. After a three-month orientation period, job-performance determines conversion toward formal employment; yet public reports lack verified 12-month retention-rate statistics (The Star, 2026). Systematic reviews confirm autism-related workplace outcomes are significantly affected by training depth, sensory accommodation, direct-communication modes, job-crafting, and supervisor-co-worker collaboration (Parr et al., 2026). One-off interview-coaching without systematic task-analysis cannot improve long-term-job retention. Supported-employment theories emphasise dynamic post-placement adjustment rather than one-time-job placement determining retention success (Xu &amp; Su, 2016).</w:t>
      </w:r>
    </w:p>
    <w:p>
      <w:pPr>
        <w:ind w:firstLine="720"/>
      </w:pPr>
      <w:r>
        <w:rPr>
          <w:rFonts w:ascii="Times New Roman" w:hAnsi="Times New Roman" w:eastAsia="SimSun"/>
          <w:sz w:val="24"/>
          <w:szCs w:val="24"/>
        </w:rPr>
        <w:t xml:space="preserve">The autism-specific limitation of current provision is corroborated by Malaysian post-secondary TVET research. The Ministry of Education's target of 75% inclusive enrolment for children with special needs by 2025 is designed for autistic children aged 5–17; the programme therefore ceases below age 18 and leaves no clear post-secondary TVET pathway for autistic learners aged 18–25, creating a gap that purely academic education cannot fill (Megat Khalid et al., 2022). This finding directly qualifies the policy implication: a replicable closed loop must extend beyond graduation and provide an explicit 18–25 post-secondary TVET route for autistic learners, rather than terminating support at secondary-school exit. The same gap appears, in different form, in the Shanghai case, where the four-year culinary major ends at graduation without a mandated post-exit employment-tracking mechanism.</w:t>
      </w:r>
    </w:p>
    <w:p>
      <w:pPr>
        <w:ind/>
      </w:pPr>
    </w:p>
    <w:p>
      <w:pPr>
        <w:ind/>
        <w:jc w:val="left"/>
      </w:pPr>
      <w:r>
        <w:rPr>
          <w:rFonts w:ascii="Times New Roman" w:hAnsi="Times New Roman" w:eastAsia="SimSun"/>
          <w:sz w:val="26"/>
          <w:szCs w:val="26"/>
          <w:b/>
          <w:bCs/>
        </w:rPr>
        <w:t xml:space="preserve">6  Employment Outcomes, Retention Factors, and Data Limitations</w:t>
      </w:r>
    </w:p>
    <w:p>
      <w:pPr>
        <w:ind/>
      </w:pPr>
    </w:p>
    <w:p>
      <w:pPr>
        <w:ind w:firstLine="720"/>
      </w:pPr>
      <w:r>
        <w:rPr>
          <w:rFonts w:ascii="Times New Roman" w:hAnsi="Times New Roman" w:eastAsia="SimSun"/>
          <w:sz w:val="24"/>
          <w:szCs w:val="24"/>
        </w:rPr>
        <w:t xml:space="preserve">For Shanghai-Fengxian: public-source materials show roughly 30% of special-education students obtain social-job-practice experience, while the proportion holding long-term full-time enterprise-posts is distinctly lower. Influencing factors include family anxiety vocational-competence, income-versus-subsistence-allowance trade-offs, shortage gradient adaptive-social posts, and overly mechanised internships that weaken identity formation (Fengxian District Government, 2023; Tencent News, 2024). City-wide special-vocational-education confronts triple structural constraints: enterprise-acceptance difficulties, barriers organising group-internships, and low-economic-return characteristics of special-needs posts (Yang, 2021). Therefore, outcome evaluation for Shanghai should prioritise job-practice-coverage indicators instead of crude open-market-employment rates. Chinese scholars repeatedly warn against over-reliance upon single employment-rate metrics for special-vocational-performance appraisal; multi-dimensional indicator systems covering practice participation, certificate-attainment, and post-graduation retention ought to be constructed (Li, 2023; Zhang et al., 2023; Shen, 2019).</w:t>
      </w:r>
    </w:p>
    <w:p>
      <w:pPr>
        <w:ind w:firstLine="720"/>
      </w:pPr>
      <w:r>
        <w:rPr>
          <w:rFonts w:ascii="Times New Roman" w:hAnsi="Times New Roman" w:eastAsia="SimSun"/>
          <w:sz w:val="24"/>
          <w:szCs w:val="24"/>
        </w:rPr>
        <w:t xml:space="preserve">For the Kuala Lumpur metropolitan area: SMPKV generates SKM-certificate-acquisition statistics, yet segmented databases cannot supply long-term-retention data disaggregated by major and disability-category. Aggregate JKM Job-Coach statistics for 2012–2020 report facilitating employment for 1,397 disabled persons across 770 participating employers. These aggregate figures cannot distinguish beneficiaries coming from SMPKV, Bengkel Daya, Wisma Harapan, or corporate academies; neither do they contain 6-/12-month retention-rate information (Yusop, 2024; Matthew, 2024). Bengkel Daya publishes workshop-production-output indicators and Gardenia-cooperation progress; these metrics are not equivalent to open-labour-market retention outcomes. PLPP Bangi programme goals mention partial graduate employment within six months post-completion, yet sample scale and year representativeness are limited (Borneo Post, 2011). Consequently, Kuala Lumpur outcome assessment must adopt three-tier separate statistical categories: SKM-or-equivalent-certificate-acquisition rate, sheltered-workshop-participation rate, and open-competitive-employment-retention rate; these three metrics must never be conflated (Matthew, 2024; Xu &amp; Su, 2016).</w:t>
      </w:r>
    </w:p>
    <w:p>
      <w:pPr>
        <w:ind w:firstLine="720"/>
      </w:pPr>
      <w:r>
        <w:rPr>
          <w:rFonts w:ascii="Times New Roman" w:hAnsi="Times New Roman" w:eastAsia="SimSun"/>
          <w:sz w:val="24"/>
          <w:szCs w:val="24"/>
        </w:rPr>
        <w:t xml:space="preserve">It is essential to state that the data asymmetry between the two sites precludes any direct numerical comparison. Shanghai offers a practice-participation proportion but no formal Job Coach placement count; Kuala Lumpur offers aggregate placement numbers but cannot disaggregate them by sending institution, disability type, or retention duration. The absence of comparable denominators means that declaring one city "better" on employment would be a category error. This paper therefore compares mechanisms, not rates. The comparison is valid at the level of institutional arrangement and policy logic; it is not valid at the level of labour-market outcome. This boundary is not a rhetorical qualification but a methodological conclusion.</w:t>
      </w:r>
    </w:p>
    <w:p>
      <w:pPr>
        <w:ind w:firstLine="720"/>
      </w:pPr>
      <w:r>
        <w:rPr>
          <w:rFonts w:ascii="Times New Roman" w:hAnsi="Times New Roman" w:eastAsia="SimSun"/>
          <w:sz w:val="24"/>
          <w:szCs w:val="24"/>
        </w:rPr>
        <w:t xml:space="preserve">International empirical evidence clarifies these cross-regional common dilemmas. Long-term retention for intellectual-disability populations is strongly predicted by continuing workplace support, reasonable-accommodation measures, employer-participation degree, and person-centred career planning. Simply placing job-seekers without post-placement follow-up generates minimal sustained-employment effects (Basquial, 2026). Workplace-support systematic reviews identify supervisor attitudes, co-worker-interaction quality, Job-Coach-response timeliness, and enterprise-training quality as core environmental variables determining competitive-employment maintenance (Carlson et al., 2020; van der Meulen et al., 2015). Synthesising empirical evidence from both case locations: without on-site-task analysis, independent external coaches, formal reasonable-accommodation arrangements, and dedicated retention-tracking databases, stable sustained employment remains difficult to realise regardless of national context.</w:t>
      </w:r>
    </w:p>
    <w:p>
      <w:pPr>
        <w:ind/>
      </w:pPr>
    </w:p>
    <w:p>
      <w:pPr>
        <w:ind/>
        <w:jc w:val="left"/>
      </w:pPr>
      <w:r>
        <w:rPr>
          <w:rFonts w:ascii="Times New Roman" w:hAnsi="Times New Roman" w:eastAsia="SimSun"/>
          <w:sz w:val="26"/>
          <w:szCs w:val="26"/>
          <w:b/>
          <w:bCs/>
        </w:rPr>
        <w:t xml:space="preserve">7  Comprehensive Comparison and Model Summary</w:t>
      </w:r>
    </w:p>
    <w:p>
      <w:pPr>
        <w:ind/>
      </w:pPr>
    </w:p>
    <w:p>
      <w:pPr>
        <w:ind/>
        <w:jc w:val="left"/>
      </w:pPr>
      <w:r>
        <w:rPr>
          <w:rFonts w:ascii="Times New Roman" w:hAnsi="Times New Roman" w:eastAsia="SimSun"/>
          <w:sz w:val="26"/>
          <w:szCs w:val="26"/>
          <w:b/>
          <w:bCs/>
        </w:rPr>
        <w:t xml:space="preserve">7.1  Institutional Models and Trade-Offs</w:t>
      </w:r>
    </w:p>
    <w:p>
      <w:pPr>
        <w:ind/>
      </w:pPr>
    </w:p>
    <w:p>
      <w:pPr>
        <w:ind w:firstLine="720"/>
      </w:pPr>
      <w:r>
        <w:rPr>
          <w:rFonts w:ascii="Times New Roman" w:hAnsi="Times New Roman" w:eastAsia="SimSun"/>
          <w:sz w:val="24"/>
          <w:szCs w:val="24"/>
        </w:rPr>
        <w:t xml:space="preserve">The comparative reading proposed in this paper resists the binary template of "Shanghai is unified but lacks Job Coaches; Kuala Lumpur has Job Coaches but is fragmented." Instead, it treats each configuration as a governance trade-off. When authority is concentrated in the education sector, the predictable advantages are standardisation, enrolment equity, and reliable in-school records; the equally predictable cost is that services located outside the school—independent employment placement, workplace accommodation, and post-exit follow-up—remain weakly institutionalised. Conversely, when welfare, education, and NGO sectors operate as relatively autonomous centres, the advantages are specialised functions and professional employment intermediation; the cost is precisely the fragmentation that makes cross-system data aggregation difficult. The following table therefore presents institutional configurations rather than a scorecard of strengths and weaknesses.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autofit"/>
      </w:tblPr>
      <w:tblGrid>
        <w:gridCol w:w="1400"/>
        <w:gridCol w:w="2100"/>
        <w:gridCol w:w="1500"/>
      </w:tblGrid>
      <w:tr>
        <w:tc>
          <w:tcPr>
            <w:tcW w:w="1400" w:type="dxa"/>
            <w:shd w:val="clear" w:color="auto" w:fill="D9E2F3"/>
            <w:shd w:val="clear" w:color="auto" w:fill="D9E2F3"/>
          </w:tcPr>
          <w:p>
            <w:pPr>
              <w:ind/>
              <w:jc w:val="left"/>
            </w:pPr>
            <w:r>
              <w:rPr>
                <w:rFonts w:ascii="Times New Roman" w:hAnsi="Times New Roman" w:eastAsia="SimSun"/>
                <w:sz w:val="20"/>
                <w:szCs w:val="20"/>
                <w:b/>
                <w:bCs/>
              </w:rPr>
              <w:t xml:space="preserve">Dimension</w:t>
            </w:r>
          </w:p>
        </w:tc>
        <w:tc>
          <w:tcPr>
            <w:tcW w:w="2100" w:type="dxa"/>
            <w:shd w:val="clear" w:color="auto" w:fill="D9E2F3"/>
            <w:shd w:val="clear" w:color="auto" w:fill="D9E2F3"/>
          </w:tcPr>
          <w:p>
            <w:pPr>
              <w:ind/>
              <w:jc w:val="left"/>
            </w:pPr>
            <w:r>
              <w:rPr>
                <w:rFonts w:ascii="Times New Roman" w:hAnsi="Times New Roman" w:eastAsia="SimSun"/>
                <w:sz w:val="20"/>
                <w:szCs w:val="20"/>
                <w:b/>
                <w:bCs/>
              </w:rPr>
              <w:t xml:space="preserve">Shanghai Fengxian</w:t>
            </w:r>
          </w:p>
        </w:tc>
        <w:tc>
          <w:tcPr>
            <w:tcW w:w="1500" w:type="dxa"/>
            <w:shd w:val="clear" w:color="auto" w:fill="D9E2F3"/>
            <w:shd w:val="clear" w:color="auto" w:fill="D9E2F3"/>
          </w:tcPr>
          <w:p>
            <w:pPr>
              <w:ind/>
              <w:jc w:val="left"/>
            </w:pPr>
            <w:r>
              <w:rPr>
                <w:rFonts w:ascii="Times New Roman" w:hAnsi="Times New Roman" w:eastAsia="SimSun"/>
                <w:sz w:val="20"/>
                <w:szCs w:val="20"/>
                <w:b/>
                <w:bCs/>
              </w:rPr>
              <w:t xml:space="preserve">Kuala Lumpur Metropolitan Area</w:t>
            </w:r>
          </w:p>
        </w:tc>
      </w:tr>
      <w:tr>
        <w:tc>
          <w:tcPr>
            <w:tcW w:w="1400" w:type="dxa"/>
          </w:tcPr>
          <w:p>
            <w:pPr>
              <w:ind/>
              <w:jc w:val="left"/>
            </w:pPr>
            <w:r>
              <w:rPr>
                <w:rFonts w:ascii="Times New Roman" w:hAnsi="Times New Roman" w:eastAsia="SimSun"/>
                <w:sz w:val="20"/>
                <w:szCs w:val="20"/>
              </w:rPr>
              <w:t xml:space="preserve">Individual</w:t>
            </w:r>
          </w:p>
        </w:tc>
        <w:tc>
          <w:tcPr>
            <w:tcW w:w="2100" w:type="dxa"/>
          </w:tcPr>
          <w:p>
            <w:pPr>
              <w:ind/>
              <w:jc w:val="left"/>
            </w:pPr>
            <w:r>
              <w:rPr>
                <w:rFonts w:ascii="Times New Roman" w:hAnsi="Times New Roman" w:eastAsia="SimSun"/>
                <w:sz w:val="20"/>
                <w:szCs w:val="20"/>
              </w:rPr>
              <w:t xml:space="preserve">Strong in one-step cooking and coffee service; soft skills improved through role-simulation practice.</w:t>
            </w:r>
          </w:p>
        </w:tc>
        <w:tc>
          <w:tcPr>
            <w:tcW w:w="1500" w:type="dxa"/>
          </w:tcPr>
          <w:p>
            <w:pPr>
              <w:ind/>
              <w:jc w:val="left"/>
            </w:pPr>
            <w:r>
              <w:rPr>
                <w:rFonts w:ascii="Times New Roman" w:hAnsi="Times New Roman" w:eastAsia="SimSun"/>
                <w:sz w:val="20"/>
                <w:szCs w:val="20"/>
              </w:rPr>
              <w:t xml:space="preserve">SMPKV delivers formal SKM certifications; Wisma Harapan serves ASD, Down syndrome, and learning disability; Bengkel Daya targets moderate-to-severe disability cohorts.</w:t>
            </w:r>
          </w:p>
        </w:tc>
      </w:tr>
      <w:tr>
        <w:tc>
          <w:tcPr>
            <w:tcW w:w="1400" w:type="dxa"/>
          </w:tcPr>
          <w:p>
            <w:pPr>
              <w:ind/>
              <w:jc w:val="left"/>
            </w:pPr>
            <w:r>
              <w:rPr>
                <w:rFonts w:ascii="Times New Roman" w:hAnsi="Times New Roman" w:eastAsia="SimSun"/>
                <w:sz w:val="20"/>
                <w:szCs w:val="20"/>
              </w:rPr>
              <w:t xml:space="preserve">Family</w:t>
            </w:r>
          </w:p>
        </w:tc>
        <w:tc>
          <w:tcPr>
            <w:tcW w:w="2100" w:type="dxa"/>
          </w:tcPr>
          <w:p>
            <w:pPr>
              <w:ind/>
              <w:jc w:val="left"/>
            </w:pPr>
            <w:r>
              <w:rPr>
                <w:rFonts w:ascii="Times New Roman" w:hAnsi="Times New Roman" w:eastAsia="SimSun"/>
                <w:sz w:val="20"/>
                <w:szCs w:val="20"/>
              </w:rPr>
              <w:t xml:space="preserve">Families weigh subsistence allowance against wage income; fear of workplace setbacks.</w:t>
            </w:r>
          </w:p>
        </w:tc>
        <w:tc>
          <w:tcPr>
            <w:tcW w:w="1500" w:type="dxa"/>
          </w:tcPr>
          <w:p>
            <w:pPr>
              <w:ind/>
              <w:jc w:val="left"/>
            </w:pPr>
            <w:r>
              <w:rPr>
                <w:rFonts w:ascii="Times New Roman" w:hAnsi="Times New Roman" w:eastAsia="SimSun"/>
                <w:sz w:val="20"/>
                <w:szCs w:val="20"/>
              </w:rPr>
              <w:t xml:space="preserve">JKM-registered OKU similarly face allowance-job-income conflicts.</w:t>
            </w:r>
          </w:p>
        </w:tc>
      </w:tr>
      <w:tr>
        <w:tc>
          <w:tcPr>
            <w:tcW w:w="1400" w:type="dxa"/>
          </w:tcPr>
          <w:p>
            <w:pPr>
              <w:ind/>
              <w:jc w:val="left"/>
            </w:pPr>
            <w:r>
              <w:rPr>
                <w:rFonts w:ascii="Times New Roman" w:hAnsi="Times New Roman" w:eastAsia="SimSun"/>
                <w:sz w:val="20"/>
                <w:szCs w:val="20"/>
              </w:rPr>
              <w:t xml:space="preserve">School Curriculum</w:t>
            </w:r>
          </w:p>
        </w:tc>
        <w:tc>
          <w:tcPr>
            <w:tcW w:w="2100" w:type="dxa"/>
          </w:tcPr>
          <w:p>
            <w:pPr>
              <w:ind/>
              <w:jc w:val="left"/>
            </w:pPr>
            <w:r>
              <w:rPr>
                <w:rFonts w:ascii="Times New Roman" w:hAnsi="Times New Roman" w:eastAsia="SimSun"/>
                <w:sz w:val="20"/>
                <w:szCs w:val="20"/>
              </w:rPr>
              <w:t xml:space="preserve">Four-year culinary major plus Xinyuan Xiaoshe on-campus base; lacks unified special-group-oriented skill-level standards.</w:t>
            </w:r>
          </w:p>
        </w:tc>
        <w:tc>
          <w:tcPr>
            <w:tcW w:w="1500" w:type="dxa"/>
          </w:tcPr>
          <w:p>
            <w:pPr>
              <w:ind/>
              <w:jc w:val="left"/>
            </w:pPr>
            <w:r>
              <w:rPr>
                <w:rFonts w:ascii="Times New Roman" w:hAnsi="Times New Roman" w:eastAsia="SimSun"/>
                <w:sz w:val="20"/>
                <w:szCs w:val="20"/>
              </w:rPr>
              <w:t xml:space="preserve">SMPKV-JPK certification mechanism relatively standardised; PPKI micro-credential reform still in pilot phase.</w:t>
            </w:r>
          </w:p>
        </w:tc>
      </w:tr>
      <w:tr>
        <w:tc>
          <w:tcPr>
            <w:tcW w:w="1400" w:type="dxa"/>
          </w:tcPr>
          <w:p>
            <w:pPr>
              <w:ind/>
              <w:jc w:val="left"/>
            </w:pPr>
            <w:r>
              <w:rPr>
                <w:rFonts w:ascii="Times New Roman" w:hAnsi="Times New Roman" w:eastAsia="SimSun"/>
                <w:sz w:val="20"/>
                <w:szCs w:val="20"/>
              </w:rPr>
              <w:t xml:space="preserve">Internship Transition</w:t>
            </w:r>
          </w:p>
        </w:tc>
        <w:tc>
          <w:tcPr>
            <w:tcW w:w="2100" w:type="dxa"/>
          </w:tcPr>
          <w:p>
            <w:pPr>
              <w:ind/>
              <w:jc w:val="left"/>
            </w:pPr>
            <w:r>
              <w:rPr>
                <w:rFonts w:ascii="Times New Roman" w:hAnsi="Times New Roman" w:eastAsia="SimSun"/>
                <w:sz w:val="20"/>
                <w:szCs w:val="20"/>
              </w:rPr>
              <w:t xml:space="preserve">Zhai Ka Car Wash, charity supermarket, agricultural practice; site quantity increased but practice depth uneven.</w:t>
            </w:r>
          </w:p>
        </w:tc>
        <w:tc>
          <w:tcPr>
            <w:tcW w:w="1500" w:type="dxa"/>
          </w:tcPr>
          <w:p>
            <w:pPr>
              <w:ind/>
              <w:jc w:val="left"/>
            </w:pPr>
            <w:r>
              <w:rPr>
                <w:rFonts w:ascii="Times New Roman" w:hAnsi="Times New Roman" w:eastAsia="SimSun"/>
                <w:sz w:val="20"/>
                <w:szCs w:val="20"/>
              </w:rPr>
              <w:t xml:space="preserve">PPKI, Job Coach, PLPP Bangi available; yet serious school-JKM data disconnection.</w:t>
            </w:r>
          </w:p>
        </w:tc>
      </w:tr>
      <w:tr>
        <w:tc>
          <w:tcPr>
            <w:tcW w:w="1400" w:type="dxa"/>
          </w:tcPr>
          <w:p>
            <w:pPr>
              <w:ind/>
              <w:jc w:val="left"/>
            </w:pPr>
            <w:r>
              <w:rPr>
                <w:rFonts w:ascii="Times New Roman" w:hAnsi="Times New Roman" w:eastAsia="SimSun"/>
                <w:sz w:val="20"/>
                <w:szCs w:val="20"/>
              </w:rPr>
              <w:t xml:space="preserve">Job Coach</w:t>
            </w:r>
          </w:p>
        </w:tc>
        <w:tc>
          <w:tcPr>
            <w:tcW w:w="2100" w:type="dxa"/>
          </w:tcPr>
          <w:p>
            <w:pPr>
              <w:ind/>
              <w:jc w:val="left"/>
            </w:pPr>
            <w:r>
              <w:rPr>
                <w:rFonts w:ascii="Times New Roman" w:hAnsi="Times New Roman" w:eastAsia="SimSun"/>
                <w:sz w:val="20"/>
                <w:szCs w:val="20"/>
              </w:rPr>
              <w:t xml:space="preserve">Class teachers and store managers fulfil coaching duties; no routine third-party professional coaches.</w:t>
            </w:r>
          </w:p>
        </w:tc>
        <w:tc>
          <w:tcPr>
            <w:tcW w:w="1500" w:type="dxa"/>
          </w:tcPr>
          <w:p>
            <w:pPr>
              <w:ind/>
              <w:jc w:val="left"/>
            </w:pPr>
            <w:r>
              <w:rPr>
                <w:rFonts w:ascii="Times New Roman" w:hAnsi="Times New Roman" w:eastAsia="SimSun"/>
                <w:sz w:val="20"/>
                <w:szCs w:val="20"/>
              </w:rPr>
              <w:t xml:space="preserve">JKM possesses formal Job Coach function; shortage of NOSS-certified personnel; low SME awareness.</w:t>
            </w:r>
          </w:p>
        </w:tc>
      </w:tr>
      <w:tr>
        <w:tc>
          <w:tcPr>
            <w:tcW w:w="1400" w:type="dxa"/>
          </w:tcPr>
          <w:p>
            <w:pPr>
              <w:ind/>
              <w:jc w:val="left"/>
            </w:pPr>
            <w:r>
              <w:rPr>
                <w:rFonts w:ascii="Times New Roman" w:hAnsi="Times New Roman" w:eastAsia="SimSun"/>
                <w:sz w:val="20"/>
                <w:szCs w:val="20"/>
              </w:rPr>
              <w:t xml:space="preserve">Enterprise Environment</w:t>
            </w:r>
          </w:p>
        </w:tc>
        <w:tc>
          <w:tcPr>
            <w:tcW w:w="2100" w:type="dxa"/>
          </w:tcPr>
          <w:p>
            <w:pPr>
              <w:ind/>
              <w:jc w:val="left"/>
            </w:pPr>
            <w:r>
              <w:rPr>
                <w:rFonts w:ascii="Times New Roman" w:hAnsi="Times New Roman" w:eastAsia="SimSun"/>
                <w:sz w:val="20"/>
                <w:szCs w:val="20"/>
              </w:rPr>
              <w:t xml:space="preserve">Mainly charity-oriented caring enterprises; reasonable accommodation not standardised. Canbaojin soft obligation plus VAT refunds, wage-addition deductions, and land-use-tax relief for certified employees.</w:t>
            </w:r>
          </w:p>
        </w:tc>
        <w:tc>
          <w:tcPr>
            <w:tcW w:w="1500" w:type="dxa"/>
          </w:tcPr>
          <w:p>
            <w:pPr>
              <w:ind/>
              <w:jc w:val="left"/>
            </w:pPr>
            <w:r>
              <w:rPr>
                <w:rFonts w:ascii="Times New Roman" w:hAnsi="Times New Roman" w:eastAsia="SimSun"/>
                <w:sz w:val="20"/>
                <w:szCs w:val="20"/>
              </w:rPr>
              <w:t xml:space="preserve">No mandatory quota; PDA 2008 anti-discrimination and reasonable-accommodation duties; incentives delivered chiefly via JKM training and placement services rather than tax rebates.</w:t>
            </w:r>
          </w:p>
        </w:tc>
      </w:tr>
      <w:tr>
        <w:tc>
          <w:tcPr>
            <w:tcW w:w="1400" w:type="dxa"/>
          </w:tcPr>
          <w:p>
            <w:pPr>
              <w:ind/>
              <w:jc w:val="left"/>
            </w:pPr>
            <w:r>
              <w:rPr>
                <w:rFonts w:ascii="Times New Roman" w:hAnsi="Times New Roman" w:eastAsia="SimSun"/>
                <w:sz w:val="20"/>
                <w:szCs w:val="20"/>
              </w:rPr>
              <w:t xml:space="preserve">Policy Data</w:t>
            </w:r>
          </w:p>
        </w:tc>
        <w:tc>
          <w:tcPr>
            <w:tcW w:w="2100" w:type="dxa"/>
          </w:tcPr>
          <w:p>
            <w:pPr>
              <w:ind/>
              <w:jc w:val="left"/>
            </w:pPr>
            <w:r>
              <w:rPr>
                <w:rFonts w:ascii="Times New Roman" w:hAnsi="Times New Roman" w:eastAsia="SimSun"/>
                <w:sz w:val="20"/>
                <w:szCs w:val="20"/>
              </w:rPr>
              <w:t xml:space="preserve">District Disabled Persons' Federation and special-education-school records; no unified graduate-retention database.</w:t>
            </w:r>
          </w:p>
        </w:tc>
        <w:tc>
          <w:tcPr>
            <w:tcW w:w="1500" w:type="dxa"/>
          </w:tcPr>
          <w:p>
            <w:pPr>
              <w:ind/>
              <w:jc w:val="left"/>
            </w:pPr>
            <w:r>
              <w:rPr>
                <w:rFonts w:ascii="Times New Roman" w:hAnsi="Times New Roman" w:eastAsia="SimSun"/>
                <w:sz w:val="20"/>
                <w:szCs w:val="20"/>
              </w:rPr>
              <w:t xml:space="preserve">SPOKU, JKM, SPM, SKM datasets scattered; retention-outcome statistics incomplete.</w:t>
            </w:r>
          </w:p>
        </w:tc>
      </w:tr>
      <w:tr>
        <w:tc>
          <w:tcPr>
            <w:tcW w:w="1400" w:type="dxa"/>
          </w:tcPr>
          <w:p>
            <w:pPr>
              <w:ind/>
              <w:jc w:val="left"/>
            </w:pPr>
            <w:r>
              <w:rPr>
                <w:rFonts w:ascii="Times New Roman" w:hAnsi="Times New Roman" w:eastAsia="SimSun"/>
                <w:sz w:val="20"/>
                <w:szCs w:val="20"/>
              </w:rPr>
              <w:t xml:space="preserve">Data Availability</w:t>
            </w:r>
          </w:p>
        </w:tc>
        <w:tc>
          <w:tcPr>
            <w:tcW w:w="2100" w:type="dxa"/>
          </w:tcPr>
          <w:p>
            <w:pPr>
              <w:ind/>
              <w:jc w:val="left"/>
            </w:pPr>
            <w:r>
              <w:rPr>
                <w:rFonts w:ascii="Times New Roman" w:hAnsi="Times New Roman" w:eastAsia="SimSun"/>
                <w:sz w:val="20"/>
                <w:szCs w:val="20"/>
              </w:rPr>
              <w:t xml:space="preserve">Practice-participation proportion available (~30%); formal Job Coach count absent; post-placement retention not separately tracked.</w:t>
            </w:r>
          </w:p>
        </w:tc>
        <w:tc>
          <w:tcPr>
            <w:tcW w:w="1500" w:type="dxa"/>
          </w:tcPr>
          <w:p>
            <w:pPr>
              <w:ind/>
              <w:jc w:val="left"/>
            </w:pPr>
            <w:r>
              <w:rPr>
                <w:rFonts w:ascii="Times New Roman" w:hAnsi="Times New Roman" w:eastAsia="SimSun"/>
                <w:sz w:val="20"/>
                <w:szCs w:val="20"/>
              </w:rPr>
              <w:t xml:space="preserve">SKM certificate counts available; aggregate Job Coach placement figures available; institution- and disability-disaggregated retention absent.</w:t>
            </w:r>
          </w:p>
        </w:tc>
      </w:tr>
    </w:tbl>
    <w:p>
      <w:pPr>
        <w:ind/>
      </w:pPr>
    </w:p>
    <w:p>
      <w:pPr>
        <w:ind/>
        <w:jc w:val="left"/>
      </w:pPr>
      <w:r>
        <w:rPr>
          <w:rFonts w:ascii="Times New Roman" w:hAnsi="Times New Roman" w:eastAsia="SimSun"/>
          <w:sz w:val="24"/>
          <w:szCs w:val="24"/>
          <w:b/>
          <w:bCs/>
        </w:rPr>
        <w:t xml:space="preserve">Note. </w:t>
      </w:r>
      <w:r>
        <w:rPr>
          <w:rFonts w:ascii="Times New Roman" w:hAnsi="Times New Roman" w:eastAsia="SimSun"/>
          <w:sz w:val="24"/>
          <w:szCs w:val="24"/>
        </w:rPr>
        <w:t xml:space="preserve">ASD = autism spectrum disorder; JKM = Social Welfare Department (Jabatan Kebajikan Masyarakat); NOSS = National Occupational Skills Standard; OKU = Person With Disabilities (Orang Kurang Upaya); PDA = Persons with Disabilities Act 2008; SMPKV = Sekolah Menengah Pendidikan Khas Vokasional; SKM = Sijil Kemahiran Malaysia; SPOKU = Persons With Disabilities Registration System; SPM = Sijil Pelajaran Malaysia. The final row ("Data Availability") is added to prevent the reader from inferring comparable employment rates from non-comparable indicators. Adapted from comparative analysis across sources cited in this paper.</w:t>
      </w:r>
    </w:p>
    <w:p>
      <w:pPr>
        <w:ind w:firstLine="720"/>
      </w:pPr>
      <w:r>
        <w:rPr>
          <w:rFonts w:ascii="Times New Roman" w:hAnsi="Times New Roman" w:eastAsia="SimSun"/>
          <w:sz w:val="24"/>
          <w:szCs w:val="24"/>
        </w:rPr>
        <w:t xml:space="preserve">The Shanghai-Fengxian institutional model is built upon unified municipal-policy frameworks, standardised IEP implementation, four-year culinary-centred majors supplemented by coffee, pastry, and housekeeping extended modules. Its advantages are educational-equity guarantee and continuity of individualised school-based support. The corresponding limitation is that external professional-employment services and long-term-retention data tracking capacity are underdeveloped. It provides a reference "school-led model" for regions which have not yet built multi-sector disability-employment-support systems (Li, 2023; Zhang et al., 2023). This school-dominated governance represents the mainstream development route for mainland-China special vocational education.</w:t>
      </w:r>
    </w:p>
    <w:p>
      <w:pPr>
        <w:ind w:firstLine="720"/>
      </w:pPr>
      <w:r>
        <w:rPr>
          <w:rFonts w:ascii="Times New Roman" w:hAnsi="Times New Roman" w:eastAsia="SimSun"/>
          <w:sz w:val="24"/>
          <w:szCs w:val="24"/>
        </w:rPr>
        <w:t xml:space="preserve">The Kuala Lumpur metropolitan-area model integrates multi-trade SKM certification from SMPKV; Wisma Harapan pre-vocational preparation for ASD- and learning-disability youth; Bengkel Daya sheltered-production sites; PLPP Bangi physical-disability skill training; plus JKM-Job-Coach-driven open-market continuing support. Its strengths manifest in professional job matching, workplace reasonable accommodation, and mature supported-employment specialisation. Its corresponding limitation is cross-institutional-data fragmentation and insufficient outcome transparency. It offers a multi-sector-collaboration benchmark for jurisdictions already possessing TVET-and-social-welfare-administrative foundations (Fan, 2026; Matthew, 2024). Its fragmented multi-agency setup is representative for many Southeast-Asian federal-state contexts.</w:t>
      </w:r>
    </w:p>
    <w:p>
      <w:pPr>
        <w:ind w:firstLine="720"/>
      </w:pPr>
      <w:r>
        <w:rPr>
          <w:rFonts w:ascii="Times New Roman" w:hAnsi="Times New Roman" w:eastAsia="SimSun"/>
          <w:sz w:val="24"/>
          <w:szCs w:val="24"/>
        </w:rPr>
        <w:t xml:space="preserve">A key implication for both cities is to embed enterprise incentives within the transition loop rather than treating them as separate fiscal instruments. Shanghai can strengthen its ratio-based Canbaojin framework by extending recognition to enterprises that host structured internships for special-education students with or without a disability certificate, while aligning VAT refunds and wage-addition deductions with verified post-placement retention outcomes. This would require a verification mechanism to guard against moral hazard: employers might otherwise claim incentives for nominal placements that do not lead to sustained employment. Kuala Lumpur can build on its anti-discrimination and JKM-supported-employment foundation by introducing transparent employer-incentive guidelines—potentially through HRD Corp or SLDN training arrangements—so that hiring persons with disabilities yields predictable, rather than discretionary, benefits. Both jurisdictions should report employer participation, accommodation costs, and 12-month retention disaggregated by disability category, replacing headline employment rates with comparable, outcome-based indicators.</w:t>
      </w:r>
    </w:p>
    <w:p>
      <w:pPr>
        <w:ind/>
        <w:jc w:val="left"/>
      </w:pPr>
      <w:r>
        <w:rPr>
          <w:rFonts w:ascii="Times New Roman" w:hAnsi="Times New Roman" w:eastAsia="SimSun"/>
          <w:sz w:val="26"/>
          <w:szCs w:val="26"/>
          <w:b/>
          <w:bCs/>
        </w:rPr>
        <w:t xml:space="preserve">7.2  Common Systemic Challenges Across Both Cities</w:t>
      </w:r>
    </w:p>
    <w:p>
      <w:pPr>
        <w:ind/>
      </w:pPr>
    </w:p>
    <w:p>
      <w:pPr>
        <w:ind w:firstLine="720"/>
      </w:pPr>
      <w:r>
        <w:rPr>
          <w:rFonts w:ascii="Times New Roman" w:hAnsi="Times New Roman" w:eastAsia="SimSun"/>
          <w:sz w:val="24"/>
          <w:szCs w:val="24"/>
        </w:rPr>
        <w:t xml:space="preserve">Beyond their differences in governance structure, Shanghai and Kuala Lumpur share a set of systemic challenges that warrant equal analytical weight. First, the transition from sheltered employment to competitive open-market employment remains difficult in both contexts. Shanghai's on-campus practice bases and Kuala Lumpur's Bengkel Daya both provide valuable intermediate environments, but neither automatically converts participation into paid competitive employment. Second, the allowance-income versus wage-income conflict appears in both cities: families weigh the loss of disability-related subsistence support against the uncertain gains of formal employment, and this calculation depresses take-up of open-market jobs. Third, both contexts exhibit a service gap for autistic and intellectual-disability learners in the 18–25 age range, after formal special education ends but before stable employment is secured. Fourth, neither city publishes retention statistics disaggregated by disability category, making it impossible to determine whether current programmes serve autistic, intellectually disabled, and physically disabled learners equally well.</w:t>
      </w:r>
    </w:p>
    <w:p>
      <w:pPr>
        <w:ind w:firstLine="720"/>
      </w:pPr>
      <w:r>
        <w:rPr>
          <w:rFonts w:ascii="Times New Roman" w:hAnsi="Times New Roman" w:eastAsia="SimSun"/>
          <w:sz w:val="24"/>
          <w:szCs w:val="24"/>
        </w:rPr>
        <w:t xml:space="preserve">These common challenges support the conclusion that the Shanghai-Kuala Lumpur comparison is not merely a contrast between two administrative models, but also a window onto shared East and Southeast Asian dilemmas in special-vocational transition. The convergence is substantive, not rhetorical: it concerns the final stage of the transition sequence—moving from preparation and placement into sustained, paid, competitive employment—where both cities underperform relative to the investment made in earlier stages. A regional agenda that took these four challenges as its starting point would be more productive than one organised around the export of institutional templates.</w:t>
      </w:r>
    </w:p>
    <w:p>
      <w:pPr>
        <w:ind w:firstLine="720"/>
      </w:pPr>
      <w:r>
        <w:rPr>
          <w:rFonts w:ascii="Times New Roman" w:hAnsi="Times New Roman" w:eastAsia="SimSun"/>
          <w:sz w:val="24"/>
          <w:szCs w:val="24"/>
        </w:rPr>
        <w:t xml:space="preserve">The comparative lessons should be situated within the wider "vocational-education going global" discourse in Southeast Asia, but only briefly. China's educational engagement in the region has been described as gradually maturing, with clear market gaps in vocational, higher, and after-school education across Singapore, Malaysia, Thailand, Indonesia, and Vietnam creating demand for competitive educational resources (Chen, 2025). The Chinese experience of the "Guangzhou model" of public-transport industry skill-export under RCEP suggests that sustainable outcomes depend on moving beyond one-off equipment export towards an "industry + service" integrated solution built on coordinated policy, schools, associations, and enterprises, alongside technical-standard and curriculum certification (Fan &amp; Li, 2026). Transposed to special-vocational transition, this logic implies that certification alone is insufficient: lasting employment requires a similarly integrated chain of school-based preparation, authentic enterprise internship, external Job Coach support, and retention tracking. This point is offered as a contextual observation rather than a central argument, since the core of the paper remains the bilateral comparison.</w:t>
      </w:r>
    </w:p>
    <w:p>
      <w:pPr>
        <w:ind/>
      </w:pPr>
    </w:p>
    <w:p>
      <w:pPr>
        <w:ind/>
        <w:jc w:val="left"/>
      </w:pPr>
      <w:r>
        <w:rPr>
          <w:rFonts w:ascii="Times New Roman" w:hAnsi="Times New Roman" w:eastAsia="SimSun"/>
          <w:sz w:val="26"/>
          <w:szCs w:val="26"/>
          <w:b/>
          <w:bCs/>
        </w:rPr>
        <w:t xml:space="preserve">8  Conclusion and Policy Implications</w:t>
      </w:r>
    </w:p>
    <w:p>
      <w:pPr>
        <w:ind/>
        <w:jc w:val="left"/>
      </w:pPr>
      <w:r>
        <w:rPr>
          <w:rFonts w:ascii="Times New Roman" w:hAnsi="Times New Roman" w:eastAsia="SimSun"/>
          <w:sz w:val="26"/>
          <w:szCs w:val="26"/>
          <w:b/>
          <w:bCs/>
        </w:rPr>
        <w:t xml:space="preserve">8.1  Conclusion</w:t>
      </w:r>
    </w:p>
    <w:p>
      <w:pPr>
        <w:ind/>
      </w:pPr>
    </w:p>
    <w:p>
      <w:pPr>
        <w:ind w:firstLine="720"/>
      </w:pPr>
      <w:r>
        <w:rPr>
          <w:rFonts w:ascii="Times New Roman" w:hAnsi="Times New Roman" w:eastAsia="SimSun"/>
          <w:sz w:val="24"/>
          <w:szCs w:val="24"/>
        </w:rPr>
        <w:t xml:space="preserve">Shanghai and Kuala Lumpur metropolitan area adopt divergent institutional combinations for special-vocational-education-and-employment transition. Shanghai's system centres on district-level special-vocational schools, unified municipal-curriculum plans, and abundant on-campus-practical training. It performs well on enrolment equity and IEP continuity, yet lacks external professional-employment services and systematic long-term-retention tracking mechanisms. Kuala Lumpur metropolitan area builds upon SMPKV skill certification, JKM-Job Coach service network, sheltered workshops, and NGO pre-vocational preparation. It demonstrates advantages in professional job matching, workplace reasonable accommodation, and supported-employment specialisation, while plagued by cross-agency-data fragmentation and insufficient outcome transparency.</w:t>
      </w:r>
    </w:p>
    <w:p>
      <w:pPr>
        <w:ind w:firstLine="720"/>
      </w:pPr>
      <w:r>
        <w:rPr>
          <w:rFonts w:ascii="Times New Roman" w:hAnsi="Times New Roman" w:eastAsia="SimSun"/>
          <w:sz w:val="24"/>
          <w:szCs w:val="24"/>
        </w:rPr>
        <w:t xml:space="preserve">The two cities also differ markedly in employer-side incentives. Shanghai combines a ratio-based Canbaojin soft obligation with VAT immediate-refunds, 100% wage-addition deductions, and urban land-use-tax relief—a fiscally substantive package that lowers the cost of integrating certified persons with disabilities. Malaysia, by contrast, imposes no mandatory hiring quota for private enterprises; the Persons with Disabilities Act 2008 establishes anti-discrimination and reasonable-accommodation obligations, while economic incentives are delivered chiefly through JKM training and placement services rather than large-scale tax rebates. Both approaches leave special-education students without a disability certificate outside the formal incentive framework, relying instead on general internship and job-coaching arrangements.</w:t>
      </w:r>
    </w:p>
    <w:p>
      <w:pPr>
        <w:ind w:firstLine="720"/>
      </w:pPr>
      <w:r>
        <w:rPr>
          <w:rFonts w:ascii="Times New Roman" w:hAnsi="Times New Roman" w:eastAsia="SimSun"/>
          <w:sz w:val="24"/>
          <w:szCs w:val="24"/>
        </w:rPr>
        <w:t xml:space="preserve">The central theoretical conclusion is that these differences are not random. They follow from the distribution of authority across sectors: concentration produces standardisation but underdevelops external employment services; dispersion produces specialisation but generates coordination costs. Neither model should be described as simply "better." The appropriate question is which trade-off a given jurisdiction is willing to accept, and which missing function it can import without importing the entire governance structure that produces it.</w:t>
      </w:r>
    </w:p>
    <w:p>
      <w:pPr>
        <w:ind/>
        <w:jc w:val="left"/>
      </w:pPr>
      <w:r>
        <w:rPr>
          <w:rFonts w:ascii="Times New Roman" w:hAnsi="Times New Roman" w:eastAsia="SimSun"/>
          <w:sz w:val="26"/>
          <w:szCs w:val="26"/>
          <w:b/>
          <w:bCs/>
        </w:rPr>
        <w:t xml:space="preserve">8.2  Policy Implications</w:t>
      </w:r>
    </w:p>
    <w:p>
      <w:pPr>
        <w:ind/>
      </w:pPr>
    </w:p>
    <w:p>
      <w:pPr>
        <w:ind w:firstLine="720"/>
      </w:pPr>
      <w:r>
        <w:rPr>
          <w:rFonts w:ascii="Times New Roman" w:hAnsi="Times New Roman" w:eastAsia="SimSun"/>
          <w:sz w:val="24"/>
          <w:szCs w:val="24"/>
        </w:rPr>
        <w:t xml:space="preserve">For Shanghai, the priority is not to import Malaysia's Job Coach system wholesale. The JKM model is rooted in Malaysia's federal welfare architecture; replicating it in Shanghai would require resolving funding sources, professional qualifications, and the division of responsibilities between school teachers and external coaches. A more feasible starting point is to build a hybrid function: retain the school's knowledge of the student while commissioning external task-analysis and workplace-accommodation expertise, with costs shared between the disabled-persons' federation and receiving enterprises. In parallel, IEPs should be reoriented from classroom rehabilitation toward vocational transition, with explicit post-graduation tracking checkpoints at 1, 3, 6, and 12 months.</w:t>
      </w:r>
    </w:p>
    <w:p>
      <w:pPr>
        <w:ind w:firstLine="720"/>
      </w:pPr>
      <w:r>
        <w:rPr>
          <w:rFonts w:ascii="Times New Roman" w:hAnsi="Times New Roman" w:eastAsia="SimSun"/>
          <w:sz w:val="24"/>
          <w:szCs w:val="24"/>
        </w:rPr>
        <w:t xml:space="preserve">For Kuala Lumpur, the priority is to reduce the coordination cost of multi-centre governance without abolishing the specialisation that multi-centre governance provides. This means establishing a shared minimum data protocol across JKM, SMPKV, and sheltered-workshop operators, covering placement, disability type, and retention duration. The federal structure makes a unified database a political and institutional challenge, not merely a technical one; the implication is that data integration must be negotiated as an inter-agency agreement rather than mandated top-down.</w:t>
      </w:r>
    </w:p>
    <w:p>
      <w:pPr>
        <w:ind w:firstLine="720"/>
      </w:pPr>
      <w:r>
        <w:rPr>
          <w:rFonts w:ascii="Times New Roman" w:hAnsi="Times New Roman" w:eastAsia="SimSun"/>
          <w:sz w:val="24"/>
          <w:szCs w:val="24"/>
        </w:rPr>
        <w:t xml:space="preserve">For other Southeast Asian cities, the transferable lesson is the sequence rather than the institution: assess vocational capacity before training, provide authentic work experience before placement, introduce external employment support before graduation, and evaluate retention after placement. The specific institutional carrier of each function should be selected according to local governance capacity.</w:t>
      </w:r>
    </w:p>
    <w:p>
      <w:pPr>
        <w:ind/>
        <w:jc w:val="left"/>
      </w:pPr>
      <w:r>
        <w:rPr>
          <w:rFonts w:ascii="Times New Roman" w:hAnsi="Times New Roman" w:eastAsia="SimSun"/>
          <w:sz w:val="26"/>
          <w:szCs w:val="26"/>
          <w:b/>
          <w:bCs/>
        </w:rPr>
        <w:t xml:space="preserve">8.3  Research Limitations</w:t>
      </w:r>
    </w:p>
    <w:p>
      <w:pPr>
        <w:ind/>
      </w:pPr>
    </w:p>
    <w:p>
      <w:pPr>
        <w:ind w:firstLine="720"/>
      </w:pPr>
      <w:r>
        <w:rPr>
          <w:rFonts w:ascii="Times New Roman" w:hAnsi="Times New Roman" w:eastAsia="SimSun"/>
          <w:sz w:val="24"/>
          <w:szCs w:val="24"/>
        </w:rPr>
        <w:t xml:space="preserve">This study relies exclusively on publicly available secondary sources—government documents, institutional web pages, news reports, and published academic literature. It contains no primary interview, questionnaire, or field-observation data from schools, Job Coaches, employers, or graduates. Consequently, the analysis cannot establish causal relationships between institutional arrangements and employment outcomes, and it cannot represent the perspectives of participants themselves. The absence of primary data also means that descriptions of daily practice are necessarily inferential rather than observational.</w:t>
      </w:r>
    </w:p>
    <w:p>
      <w:pPr>
        <w:ind w:firstLine="720"/>
      </w:pPr>
      <w:r>
        <w:rPr>
          <w:rFonts w:ascii="Times New Roman" w:hAnsi="Times New Roman" w:eastAsia="SimSun"/>
          <w:sz w:val="24"/>
          <w:szCs w:val="24"/>
        </w:rPr>
        <w:t xml:space="preserve">The data asymmetry between the two sites is a second limitation. Shanghai provides a practice-participation proportion but no formal Job Coach placement count; Kuala Lumpur provides aggregate placement figures but cannot disaggregate them by sending institution, disability type, or retention duration. These indicators are not directly comparable, and this paper has deliberately avoided comparing them numerically. Future work with access to primary data should address this gap.</w:t>
      </w:r>
    </w:p>
    <w:p>
      <w:pPr>
        <w:ind w:firstLine="720"/>
      </w:pPr>
      <w:r>
        <w:rPr>
          <w:rFonts w:ascii="Times New Roman" w:hAnsi="Times New Roman" w:eastAsia="SimSun"/>
          <w:sz w:val="24"/>
          <w:szCs w:val="24"/>
        </w:rPr>
        <w:t xml:space="preserve">A third limitation concerns sample scope. The Shanghai sample is limited to one special-vocational class in one district and cannot represent the entire Shanghai municipal system. The Kuala Lumpur sample covers multiple institution types but is confined to the Federal Territory and its commuting hinterland, and cannot represent all Malaysian states. The findings are therefore mechanism-level propositions, not population-level estimates.</w:t>
      </w:r>
    </w:p>
    <w:p>
      <w:pPr>
        <w:ind/>
        <w:jc w:val="left"/>
      </w:pPr>
      <w:r>
        <w:rPr>
          <w:rFonts w:ascii="Times New Roman" w:hAnsi="Times New Roman" w:eastAsia="SimSun"/>
          <w:sz w:val="26"/>
          <w:szCs w:val="26"/>
          <w:b/>
          <w:bCs/>
        </w:rPr>
        <w:t xml:space="preserve">8.4  Future Research Directions</w:t>
      </w:r>
    </w:p>
    <w:p>
      <w:pPr>
        <w:ind/>
      </w:pPr>
    </w:p>
    <w:p>
      <w:pPr>
        <w:ind w:firstLine="720"/>
      </w:pPr>
      <w:r>
        <w:rPr>
          <w:rFonts w:ascii="Times New Roman" w:hAnsi="Times New Roman" w:eastAsia="SimSun"/>
          <w:sz w:val="24"/>
          <w:szCs w:val="24"/>
        </w:rPr>
        <w:t xml:space="preserve">Four directions follow directly from the limitations above. First, conduct qualitative interview studies with school teachers, Job Coaches, disabled graduates, and employers in both cities to obtain first-hand accounts of the transition process and to test the mechanism-level propositions advanced here. Even a small purposive sample would substantially strengthen the evidential base.</w:t>
      </w:r>
    </w:p>
    <w:p>
      <w:pPr>
        <w:ind w:firstLine="720"/>
      </w:pPr>
      <w:r>
        <w:rPr>
          <w:rFonts w:ascii="Times New Roman" w:hAnsi="Times New Roman" w:eastAsia="SimSun"/>
          <w:sz w:val="24"/>
          <w:szCs w:val="24"/>
        </w:rPr>
        <w:t xml:space="preserve">Second, develop employment-retention indicators disaggregated by disability type—intellectual disability, autism, and physical disability—rather than treating special-education students as a homogeneous category. Current outcome statistics merge these groups and therefore cannot reveal whether programmes serve them equally well.</w:t>
      </w:r>
    </w:p>
    <w:p>
      <w:pPr>
        <w:ind w:firstLine="720"/>
      </w:pPr>
      <w:r>
        <w:rPr>
          <w:rFonts w:ascii="Times New Roman" w:hAnsi="Times New Roman" w:eastAsia="SimSun"/>
          <w:sz w:val="24"/>
          <w:szCs w:val="24"/>
        </w:rPr>
        <w:t xml:space="preserve">Third, investigate pathways for localising Job Coach functions within different governance systems. The specific question is how Shanghai might build external employment support using its existing disabled-persons' federation infrastructure, rather than copying Malaysia's JKM structure.</w:t>
      </w:r>
    </w:p>
    <w:p>
      <w:pPr>
        <w:ind w:firstLine="720"/>
      </w:pPr>
      <w:r>
        <w:rPr>
          <w:rFonts w:ascii="Times New Roman" w:hAnsi="Times New Roman" w:eastAsia="SimSun"/>
          <w:sz w:val="24"/>
          <w:szCs w:val="24"/>
        </w:rPr>
        <w:t xml:space="preserve">Fourth, study the mechanisms by which family welfare arrangements—particularly the interaction between disability allowances and wage income—shape employment decisions among young persons with disabilities. This is a common factor in both cities but remains under-examined in the comparative literature.</w:t>
      </w:r>
    </w:p>
    <w:p>
      <w:pPr>
        <w:ind/>
      </w:pPr>
    </w:p>
    <w:p>
      <w:pPr>
        <w:ind/>
        <w:jc w:val="left"/>
      </w:pPr>
      <w:r>
        <w:rPr>
          <w:rFonts w:ascii="Times New Roman" w:hAnsi="Times New Roman" w:eastAsia="SimSun"/>
          <w:sz w:val="26"/>
          <w:szCs w:val="26"/>
          <w:b/>
          <w:bCs/>
        </w:rPr>
        <w:t xml:space="preserve">References</w:t>
      </w:r>
    </w:p>
    <w:p>
      <w:pPr>
        <w:ind/>
      </w:pPr>
    </w:p>
    <w:p>
      <w:pPr>
        <w:ind w:left="720" w:hanging="720"/>
      </w:pPr>
      <w:r>
        <w:rPr>
          <w:rFonts w:ascii="Times New Roman" w:hAnsi="Times New Roman" w:eastAsia="SimSun"/>
          <w:sz w:val="24"/>
          <w:szCs w:val="24"/>
        </w:rPr>
        <w:t xml:space="preserve">Abdullah, M. N. L. Y. (2012). Embracing diversity by bridging the school-to-work transition of students with disabilities in Malaysia. In R. Maclean (Ed.), Technical and vocational education and training: Issues, concerns and prospects (Vol. 17, pp. 163-183). Springer. https://doi.org/10.1007/978-94-007-5107-1_9</w:t>
      </w:r>
    </w:p>
    <w:p>
      <w:pPr>
        <w:ind w:left="720" w:hanging="720"/>
      </w:pPr>
      <w:r>
        <w:rPr>
          <w:rFonts w:ascii="Times New Roman" w:hAnsi="Times New Roman" w:eastAsia="SimSun"/>
          <w:sz w:val="24"/>
          <w:szCs w:val="24"/>
        </w:rPr>
        <w:t xml:space="preserve">Abdullah, N., &amp; Ibrahim, R. (2021). Parents involvement in implementation of career transition for students with learning disabilities from a teacher's perspective in Malaysia. International Journal of Academic Research in Business and Social Sciences, 11(8). https://doi.org/10.6007/ijarbss/v11-i8/10418</w:t>
      </w:r>
    </w:p>
    <w:p>
      <w:pPr>
        <w:ind w:left="720" w:hanging="720"/>
      </w:pPr>
      <w:r>
        <w:rPr>
          <w:rFonts w:ascii="Times New Roman" w:hAnsi="Times New Roman" w:eastAsia="SimSun"/>
          <w:sz w:val="24"/>
          <w:szCs w:val="24"/>
        </w:rPr>
        <w:t xml:space="preserve">Asia-Pacific Development Center on Disability. (n.d.). Introduction to Job Coach: Promotes sustainable employment of persons with disabilities. https://apcdfoundation.org/sites/default/files/2023-07/1.%20Introduction_to_Job_Coach_English.pdf</w:t>
      </w:r>
    </w:p>
    <w:p>
      <w:pPr>
        <w:ind w:left="720" w:hanging="720"/>
      </w:pPr>
      <w:r>
        <w:rPr>
          <w:rFonts w:ascii="Times New Roman" w:hAnsi="Times New Roman" w:eastAsia="SimSun"/>
          <w:sz w:val="24"/>
          <w:szCs w:val="24"/>
        </w:rPr>
        <w:t xml:space="preserve">Basquial, K. B. (2026). The Effectiveness of Workplace Support Interventions in Increasing Long-Term Employment Retention Among Adults with Intellectual Disabilities: A Quantitative Meta-Analysis. British Journal of Nursing Studies, 6(3), 01-16. https://doi.org/10.32996/bjns.2026.6.3.1</w:t>
      </w:r>
    </w:p>
    <w:p>
      <w:pPr>
        <w:ind w:left="720" w:hanging="720"/>
      </w:pPr>
      <w:r>
        <w:rPr>
          <w:rFonts w:ascii="Times New Roman" w:hAnsi="Times New Roman" w:eastAsia="SimSun"/>
          <w:sz w:val="24"/>
          <w:szCs w:val="24"/>
        </w:rPr>
        <w:t xml:space="preserve">Bernama. (2024, January 16). KPWKM to collaborate with Gardenia KL to empower Bengkel Daya programme. https://www.bernama.com/en/news.php?id=2262939</w:t>
      </w:r>
    </w:p>
    <w:p>
      <w:pPr>
        <w:ind w:left="720" w:hanging="720"/>
      </w:pPr>
      <w:r>
        <w:rPr>
          <w:rFonts w:ascii="Times New Roman" w:hAnsi="Times New Roman" w:eastAsia="SimSun"/>
          <w:sz w:val="24"/>
          <w:szCs w:val="24"/>
        </w:rPr>
        <w:t xml:space="preserve">Borneo Post. (2011, December 3). Industrial training and rehabilitation for the disabled. https://www.theborneopost.com/2011/12/03/industrial-training-and-rehabilitation-for-the-disabled/</w:t>
      </w:r>
    </w:p>
    <w:p>
      <w:pPr>
        <w:ind w:left="720" w:hanging="720"/>
      </w:pPr>
      <w:r>
        <w:rPr>
          <w:rFonts w:ascii="Times New Roman" w:hAnsi="Times New Roman" w:eastAsia="SimSun"/>
          <w:sz w:val="24"/>
          <w:szCs w:val="24"/>
        </w:rPr>
        <w:t xml:space="preserve">Carlson, S. R., Morningstar, M. E., &amp; Munandar, V. (2020). Workplace supports for employees with intellectual disability: A systematic review of the intervention literature. Journal of Vocational Rehabilitation, 52(3), 251-265. https://doi.org/10.3233/JVR-201075</w:t>
      </w:r>
    </w:p>
    <w:p>
      <w:pPr>
        <w:ind w:left="720" w:hanging="720"/>
      </w:pPr>
      <w:r>
        <w:rPr>
          <w:rFonts w:ascii="Times New Roman" w:hAnsi="Times New Roman" w:eastAsia="SimSun"/>
          <w:sz w:val="24"/>
          <w:szCs w:val="24"/>
        </w:rPr>
        <w:t xml:space="preserve">Chen, H. Y. (2025). China's education going global to Southeast Asia is maturing. Zhongguancun, (8), 99.</w:t>
      </w:r>
    </w:p>
    <w:p>
      <w:pPr>
        <w:ind w:left="720" w:hanging="720"/>
      </w:pPr>
      <w:r>
        <w:rPr>
          <w:rFonts w:ascii="Times New Roman" w:hAnsi="Times New Roman" w:eastAsia="SimSun"/>
          <w:sz w:val="24"/>
          <w:szCs w:val="24"/>
        </w:rPr>
        <w:t xml:space="preserve">China Youth Online. (2025, September 13). Special youth employment: Behind them are guardians [Qingtai project, Fengxian]. https://news.cyol.com/gb/articles/2025-09/13/content_jpPja4cwoL.html</w:t>
      </w:r>
    </w:p>
    <w:p>
      <w:pPr>
        <w:ind w:left="720" w:hanging="720"/>
      </w:pPr>
      <w:r>
        <w:rPr>
          <w:rFonts w:ascii="Times New Roman" w:hAnsi="Times New Roman" w:eastAsia="SimSun"/>
          <w:sz w:val="24"/>
          <w:szCs w:val="24"/>
        </w:rPr>
        <w:t xml:space="preserve">Dai, J., Hanifah, J., &amp; Chi, C. (2023). Characteristics, challenges and enlightenment of Malaysia's vocational education. Adult Education, 43(3), 87-93.</w:t>
      </w:r>
    </w:p>
    <w:p>
      <w:pPr>
        <w:ind w:left="720" w:hanging="720"/>
      </w:pPr>
      <w:r>
        <w:rPr>
          <w:rFonts w:ascii="Times New Roman" w:hAnsi="Times New Roman" w:eastAsia="SimSun"/>
          <w:sz w:val="24"/>
          <w:szCs w:val="24"/>
        </w:rPr>
        <w:t xml:space="preserve">Eastday Education. (2021, March 12). Fengxian strengthens special secondary vocational class construction to serve sustainable development of special students. https://edu.eastday.com/node2/jypd/n5/20210312/u1ai37879.html</w:t>
      </w:r>
    </w:p>
    <w:p>
      <w:pPr>
        <w:ind w:left="720" w:hanging="720"/>
      </w:pPr>
      <w:r>
        <w:rPr>
          <w:rFonts w:ascii="Times New Roman" w:hAnsi="Times New Roman" w:eastAsia="SimSun"/>
          <w:sz w:val="24"/>
          <w:szCs w:val="24"/>
        </w:rPr>
        <w:t xml:space="preserve">Fan, W. X., &amp; Li, D. Y. (2026). The Guangzhou exemplar of “skill export” in the new-energy bus industry under the RCEP framework: An empirical study based on the Guangdong-Hong Kong-Macau Greater Bay Area public-transport industry-education integration ecosystem. Urban Public Transport, (7), 65-68.</w:t>
      </w:r>
    </w:p>
    <w:p>
      <w:pPr>
        <w:ind w:left="720" w:hanging="720"/>
      </w:pPr>
      <w:r>
        <w:rPr>
          <w:rFonts w:ascii="Times New Roman" w:hAnsi="Times New Roman" w:eastAsia="SimSun"/>
          <w:sz w:val="24"/>
          <w:szCs w:val="24"/>
        </w:rPr>
        <w:t xml:space="preserve">Fan, H. (2026). Development of Malaysian vocational education: Diversification, internationalisation, and structural constraints. International Journal of Educational Development, 98, 102-115.</w:t>
      </w:r>
    </w:p>
    <w:p>
      <w:pPr>
        <w:ind w:left="720" w:hanging="720"/>
      </w:pPr>
      <w:r>
        <w:rPr>
          <w:rFonts w:ascii="Times New Roman" w:hAnsi="Times New Roman" w:eastAsia="SimSun"/>
          <w:sz w:val="24"/>
          <w:szCs w:val="24"/>
        </w:rPr>
        <w:t xml:space="preserve">Feng, C. W. (2025). The history and future of China-Malaysia higher-education cooperation. Journal of Guangxi Institute of Socialism, 36(4), 99-104.</w:t>
      </w:r>
    </w:p>
    <w:p>
      <w:pPr>
        <w:ind w:left="720" w:hanging="720"/>
      </w:pPr>
      <w:r>
        <w:rPr>
          <w:rFonts w:ascii="Times New Roman" w:hAnsi="Times New Roman" w:eastAsia="SimSun"/>
          <w:sz w:val="24"/>
          <w:szCs w:val="24"/>
        </w:rPr>
        <w:t xml:space="preserve">Fengxian District Government. (2023, June 7). On-campus Xinyuan Xiaoshe coffee: Can it help special-education students step into ordinary-life scenarios? https://www.fengxian.gov.cn/gzms/20230607/44579.html</w:t>
      </w:r>
    </w:p>
    <w:p>
      <w:pPr>
        <w:ind w:left="720" w:hanging="720"/>
      </w:pPr>
      <w:r>
        <w:rPr>
          <w:rFonts w:ascii="Times New Roman" w:hAnsi="Times New Roman" w:eastAsia="SimSun"/>
          <w:sz w:val="24"/>
          <w:szCs w:val="24"/>
        </w:rPr>
        <w:t xml:space="preserve">Fengxian Secondary Vocational School. (2021, December 10). School establishes job-cognition practice base Xinyuan Xiaoshe for special-education secondary-vocational students. https://www.fxzz.sh.cn/contents/10/486.html</w:t>
      </w:r>
    </w:p>
    <w:p>
      <w:pPr>
        <w:ind w:left="720" w:hanging="720"/>
      </w:pPr>
      <w:r>
        <w:rPr>
          <w:rFonts w:ascii="Times New Roman" w:hAnsi="Times New Roman" w:eastAsia="SimSun"/>
          <w:sz w:val="24"/>
          <w:szCs w:val="24"/>
        </w:rPr>
        <w:t xml:space="preserve">Fengxian Secondary Vocational School. (2026a, March 11). Special-education students promote lifelong-learning development: Overpass project new-semester meeting. https://www.fxzz.sh.cn/contents/10/1948.html</w:t>
      </w:r>
    </w:p>
    <w:p>
      <w:pPr>
        <w:ind w:left="720" w:hanging="720"/>
      </w:pPr>
      <w:r>
        <w:rPr>
          <w:rFonts w:ascii="Times New Roman" w:hAnsi="Times New Roman" w:eastAsia="SimSun"/>
          <w:sz w:val="24"/>
          <w:szCs w:val="24"/>
        </w:rPr>
        <w:t xml:space="preserve">Fengxian Secondary Vocational School. (2026b, May 27). Career experience for ninth-grade Huimin School students at Fengxian secondary vocational school. https://www.fxzz.sh.cn/contents/223/1963.html</w:t>
      </w:r>
    </w:p>
    <w:p>
      <w:pPr>
        <w:ind w:left="720" w:hanging="720"/>
      </w:pPr>
      <w:r>
        <w:rPr>
          <w:rFonts w:ascii="Times New Roman" w:hAnsi="Times New Roman" w:eastAsia="SimSun"/>
          <w:sz w:val="24"/>
          <w:szCs w:val="24"/>
        </w:rPr>
        <w:t xml:space="preserve">ForaEd. (2024). Transition from education to employment in Malaysia: Situational analysis of youth with disabilities (ForaEd Working Paper 2024-04). https://static1.squarespace.com/static/5e3d3a278465d45bc9bba541/t/6619496b5de9cf4756f6c270/1712933232934/ForaEd_Report2024-04_TransitionMalaysia.pdf</w:t>
      </w:r>
    </w:p>
    <w:p>
      <w:pPr>
        <w:ind w:left="720" w:hanging="720"/>
      </w:pPr>
      <w:r>
        <w:rPr>
          <w:rFonts w:ascii="Times New Roman" w:hAnsi="Times New Roman" w:eastAsia="SimSun"/>
          <w:sz w:val="24"/>
          <w:szCs w:val="24"/>
        </w:rPr>
        <w:t xml:space="preserve">Gamuda. (n.d.). Enabling Academy: Employment Transition Programme [Brochure]. https://gamuda.com/wp-content/uploads/2022/04/Employment-Transition-Programme_Chinese.pdf</w:t>
      </w:r>
    </w:p>
    <w:p>
      <w:pPr>
        <w:ind w:left="720" w:hanging="720"/>
      </w:pPr>
      <w:r>
        <w:rPr>
          <w:rFonts w:ascii="Times New Roman" w:hAnsi="Times New Roman" w:eastAsia="SimSun"/>
          <w:sz w:val="24"/>
          <w:szCs w:val="24"/>
        </w:rPr>
        <w:t xml:space="preserve">He, F. Y., Lin, R. W., &amp; Zhao, H. M. (2024). Malaysian vocational education: History, trends and implications. Journal of Guangxi Vocational &amp; Technical College, 17(4), 82-88.</w:t>
      </w:r>
    </w:p>
    <w:p>
      <w:pPr>
        <w:ind w:left="720" w:hanging="720"/>
      </w:pPr>
      <w:r>
        <w:rPr>
          <w:rFonts w:ascii="Times New Roman" w:hAnsi="Times New Roman" w:eastAsia="SimSun"/>
          <w:sz w:val="24"/>
          <w:szCs w:val="24"/>
        </w:rPr>
        <w:t xml:space="preserve">International Journal of Creative Writing and English Literature. (2021). Career transition programme for student with learning disabilities: In excellent teachers' own words. International Journal of Creative Writing and English Literature, 1(2), 1-20. https://ijcwed.com/wp-content/uploads/2021/06/IJCWED12-201.pdf</w:t>
      </w:r>
    </w:p>
    <w:p>
      <w:pPr>
        <w:ind w:left="720" w:hanging="720"/>
      </w:pPr>
      <w:r>
        <w:rPr>
          <w:rFonts w:ascii="Times New Roman" w:hAnsi="Times New Roman" w:eastAsia="SimSun"/>
          <w:sz w:val="24"/>
          <w:szCs w:val="24"/>
        </w:rPr>
        <w:t xml:space="preserve">Ismail, A., &amp; Zainal Abiddin, N. (2014). Issues and challenges of technical and vocational education and training in Malaysia towards human capital development. Middle-East Journal of Scientific Research, 19(2), 7-11. https://www.researchgate.net/publication/313566648_Issues_and_Challenges_of_Technical_and_Vocational_Education_and_Training_in_Malaysia_Towards_Human_Capital_Development</w:t>
      </w:r>
    </w:p>
    <w:p>
      <w:pPr>
        <w:ind w:left="720" w:hanging="720"/>
      </w:pPr>
      <w:r>
        <w:rPr>
          <w:rFonts w:ascii="Times New Roman" w:hAnsi="Times New Roman" w:eastAsia="SimSun"/>
          <w:sz w:val="24"/>
          <w:szCs w:val="24"/>
        </w:rPr>
        <w:t xml:space="preserve">Jabatan Kebajikan Masyarakat. (n.d.). Job Coach. https://www.jkm.gov.my/</w:t>
      </w:r>
    </w:p>
    <w:p>
      <w:pPr>
        <w:ind w:left="720" w:hanging="720"/>
      </w:pPr>
      <w:r>
        <w:rPr>
          <w:rFonts w:ascii="Times New Roman" w:hAnsi="Times New Roman" w:eastAsia="SimSun"/>
          <w:sz w:val="24"/>
          <w:szCs w:val="24"/>
        </w:rPr>
        <w:t xml:space="preserve">Jamaludin, R. B., A. Hamid, A. H., &amp; Alias, B. S. (2023). Empowering technical and vocational education and training (TVET). International Journal of Academic Research in Business and Social Sciences, 13(12), 3072-3080.</w:t>
      </w:r>
    </w:p>
    <w:p>
      <w:pPr>
        <w:ind w:left="720" w:hanging="720"/>
      </w:pPr>
      <w:r>
        <w:rPr>
          <w:rFonts w:ascii="Times New Roman" w:hAnsi="Times New Roman" w:eastAsia="SimSun"/>
          <w:sz w:val="24"/>
          <w:szCs w:val="24"/>
        </w:rPr>
        <w:t xml:space="preserve">Lembaga Hasil Dalam Negeri Malaysia. (n.d.). Tax incentives and relief for persons with disabilities. https://www.hasil.gov.my/</w:t>
      </w:r>
    </w:p>
    <w:p>
      <w:pPr>
        <w:ind w:left="720" w:hanging="720"/>
      </w:pPr>
      <w:r>
        <w:rPr>
          <w:rFonts w:ascii="Times New Roman" w:hAnsi="Times New Roman" w:eastAsia="SimSun"/>
          <w:sz w:val="24"/>
          <w:szCs w:val="24"/>
        </w:rPr>
        <w:t xml:space="preserve">Li, D. J. (2023). Let vocational education become a powerful engine for promoting the characteristic development of county-level special-education schools. Modern Special Education, (11), 63-65.</w:t>
      </w:r>
    </w:p>
    <w:p>
      <w:pPr>
        <w:ind w:left="720" w:hanging="720"/>
      </w:pPr>
      <w:r>
        <w:rPr>
          <w:rFonts w:ascii="Times New Roman" w:hAnsi="Times New Roman" w:eastAsia="SimSun"/>
          <w:sz w:val="24"/>
          <w:szCs w:val="24"/>
        </w:rPr>
        <w:t xml:space="preserve">Liu, Z. P., &amp; Lu, X. T. (2024). Innovative promotion of China-ASEAN “Chinese + vocational skills” talent cultivation under the RCEP framework. Chuancheng, (1), 35-45.</w:t>
      </w:r>
    </w:p>
    <w:p>
      <w:pPr>
        <w:ind w:left="720" w:hanging="720"/>
      </w:pPr>
      <w:r>
        <w:rPr>
          <w:rFonts w:ascii="Times New Roman" w:hAnsi="Times New Roman" w:eastAsia="SimSun"/>
          <w:sz w:val="24"/>
          <w:szCs w:val="24"/>
        </w:rPr>
        <w:t xml:space="preserve">Malaysia. (2008). Persons with Disabilities Act 2008 (Act 685). https://lom.agc.gov.my/Laws/Act-685</w:t>
      </w:r>
    </w:p>
    <w:p>
      <w:pPr>
        <w:ind w:left="720" w:hanging="720"/>
      </w:pPr>
      <w:r>
        <w:rPr>
          <w:rFonts w:ascii="Times New Roman" w:hAnsi="Times New Roman" w:eastAsia="SimSun"/>
          <w:sz w:val="24"/>
          <w:szCs w:val="24"/>
        </w:rPr>
        <w:t xml:space="preserve">Malaysia Ministry of Education. (2017). Malaysia education blueprint annual report 2017. https://www.moe.gov.my/storage/files/shares/Dasar/PPPM/MEB%20Annual%20Report%202017.pdf</w:t>
      </w:r>
    </w:p>
    <w:p>
      <w:pPr>
        <w:ind w:left="720" w:hanging="720"/>
      </w:pPr>
      <w:r>
        <w:rPr>
          <w:rFonts w:ascii="Times New Roman" w:hAnsi="Times New Roman" w:eastAsia="SimSun"/>
          <w:sz w:val="24"/>
          <w:szCs w:val="24"/>
        </w:rPr>
        <w:t xml:space="preserve">Manaf, A. R. A., Othman, S. Z., Isa, M. F. M., Noor, W. S. M. M., &amp; Azizan, N. (2019). Employment challenges among persons with disabilities in Malaysia. International Journal of Academic Research in Business and Social Sciences, 9(10), 1-22. https://doi.org/10.6007/IJARBSS/v9-i10/6469</w:t>
      </w:r>
    </w:p>
    <w:p>
      <w:pPr>
        <w:ind w:left="720" w:hanging="720"/>
      </w:pPr>
      <w:r>
        <w:rPr>
          <w:rFonts w:ascii="Times New Roman" w:hAnsi="Times New Roman" w:eastAsia="SimSun"/>
          <w:sz w:val="24"/>
          <w:szCs w:val="24"/>
        </w:rPr>
        <w:t xml:space="preserve">Mastam, N. M., &amp; Zaharudin, R. (2024). Work readiness skills for students with learning disabilities in special education vocational schools: A conceptual framework. Jurnal Pendidikan Bitara UPSI, 17, 1-10. https://doi.org/10.37134/bitara.vol17.sp.1.2024</w:t>
      </w:r>
    </w:p>
    <w:p>
      <w:pPr>
        <w:ind w:left="720" w:hanging="720"/>
      </w:pPr>
      <w:r>
        <w:rPr>
          <w:rFonts w:ascii="Times New Roman" w:hAnsi="Times New Roman" w:eastAsia="SimSun"/>
          <w:sz w:val="24"/>
          <w:szCs w:val="24"/>
        </w:rPr>
        <w:t xml:space="preserve">Matthew, D. (2024). Transition from education to employment in Malaysia: Situational analysis of youth with disabilities. ForaEd Working Paper 2024-04. https://static1.squarespace.com/static/5e3d3a278465d45bc9bba541/t/6619496b5de9cf4756f6c270/1712933232934/ForaEd_Report2024-04_TransitionMalaysia.pdf</w:t>
      </w:r>
    </w:p>
    <w:p>
      <w:pPr>
        <w:ind w:left="720" w:hanging="720"/>
      </w:pPr>
      <w:r>
        <w:rPr>
          <w:rFonts w:ascii="Times New Roman" w:hAnsi="Times New Roman" w:eastAsia="SimSun"/>
          <w:sz w:val="24"/>
          <w:szCs w:val="24"/>
        </w:rPr>
        <w:t xml:space="preserve">Megat Khalid, P. Z. S., Yusop, S. I. M., Mason, M. Y., Mohd Dahalan, C., &amp; Wardiah. (2022). Technical vocational education training pathway for post-secondary autistic students in Malaysia. In Proceedings of the international conference. Springer. https://doi.org/10.1007/978-3-030-67307-9_10</w:t>
      </w:r>
    </w:p>
    <w:p>
      <w:pPr>
        <w:ind w:left="720" w:hanging="720"/>
      </w:pPr>
      <w:r>
        <w:rPr>
          <w:rFonts w:ascii="Times New Roman" w:hAnsi="Times New Roman" w:eastAsia="SimSun"/>
          <w:sz w:val="24"/>
          <w:szCs w:val="24"/>
        </w:rPr>
        <w:t xml:space="preserve">Ministry of Finance (China). (2023). Announcement on continuing preferential policies for disability employment security fund (Announcement No. 8). https://www.chinatax.gov.cn/chinatax/n810214/n810641/n810765/c5267892/content.html</w:t>
      </w:r>
    </w:p>
    <w:p>
      <w:pPr>
        <w:ind w:left="720" w:hanging="720"/>
      </w:pPr>
      <w:r>
        <w:rPr>
          <w:rFonts w:ascii="Times New Roman" w:hAnsi="Times New Roman" w:eastAsia="SimSun"/>
          <w:sz w:val="24"/>
          <w:szCs w:val="24"/>
        </w:rPr>
        <w:t xml:space="preserve">Ministry of Finance (China), State Taxation Administration, &amp; China Disabled Persons' Federation. (2015). Disability employment security fund management measures (Cai Shui [2015] No. 72). https://www.chinatax.gov.cn/chinatax/n377/c5207592/content.html</w:t>
      </w:r>
    </w:p>
    <w:p>
      <w:pPr>
        <w:ind w:left="720" w:hanging="720"/>
      </w:pPr>
      <w:r>
        <w:rPr>
          <w:rFonts w:ascii="Times New Roman" w:hAnsi="Times New Roman" w:eastAsia="SimSun"/>
          <w:sz w:val="24"/>
          <w:szCs w:val="24"/>
        </w:rPr>
        <w:t xml:space="preserve">MIND/SAMH. (n.d.-a). SARC/Wisma Harapan School, sheltered workshop and vocational training centre. https://mind.org.my/?p=1055</w:t>
      </w:r>
    </w:p>
    <w:p>
      <w:pPr>
        <w:ind w:left="720" w:hanging="720"/>
      </w:pPr>
      <w:r>
        <w:rPr>
          <w:rFonts w:ascii="Times New Roman" w:hAnsi="Times New Roman" w:eastAsia="SimSun"/>
          <w:sz w:val="24"/>
          <w:szCs w:val="24"/>
        </w:rPr>
        <w:t xml:space="preserve">Mustapha, R. (2017). Skills training and vocational education in Malaysia. In Skills training and vocational education in Malaysia (pp. 137-153). Springer. https://doi.org/10.1007/978-981-10-4427-4_9</w:t>
      </w:r>
    </w:p>
    <w:p>
      <w:pPr>
        <w:ind w:left="720" w:hanging="720"/>
      </w:pPr>
      <w:r>
        <w:rPr>
          <w:rFonts w:ascii="Times New Roman" w:hAnsi="Times New Roman" w:eastAsia="SimSun"/>
          <w:sz w:val="24"/>
          <w:szCs w:val="24"/>
        </w:rPr>
        <w:t xml:space="preserve">Othman, N. N. J. N., Kamaruzaman, F. M., &amp; Rasul, M. S. (2024). A pilot study on the perception of special education's students towards work ability and suitability job profile. International Journal of Modern Education, 6(20), 217-228. https://doi.org/10.35631/IJMOE.620017</w:t>
      </w:r>
    </w:p>
    <w:p>
      <w:pPr>
        <w:ind w:left="720" w:hanging="720"/>
      </w:pPr>
      <w:r>
        <w:rPr>
          <w:rFonts w:ascii="Times New Roman" w:hAnsi="Times New Roman" w:eastAsia="SimSun"/>
          <w:sz w:val="24"/>
          <w:szCs w:val="24"/>
        </w:rPr>
        <w:t xml:space="preserve">Pan, Y., &amp; Zhang, C. K. (2025). Institutional nesting and digital empowerment: Research on cross-border collaborative-education mechanism for China-Malaysia vocational-education community. Guangxi Education, (11), 4-10.</w:t>
      </w:r>
    </w:p>
    <w:p>
      <w:pPr>
        <w:ind w:left="720" w:hanging="720"/>
      </w:pPr>
      <w:r>
        <w:rPr>
          <w:rFonts w:ascii="Times New Roman" w:hAnsi="Times New Roman" w:eastAsia="SimSun"/>
          <w:sz w:val="24"/>
          <w:szCs w:val="24"/>
        </w:rPr>
        <w:t xml:space="preserve">Parr, A. D., MacKenzie, D. A., Hayes, J. A., Hoang, S., Papenhausen, E. L., Whelpley, C. E., &amp; Brodsky, J. M. (2026). A systematic review of autism in the workplace: Taking a holistic perspective on the Autistic employee life cycle. Applied Psychology. Advance online publication. https://doi.org/10.1111/apps.70116</w:t>
      </w:r>
    </w:p>
    <w:p>
      <w:pPr>
        <w:ind w:left="720" w:hanging="720"/>
      </w:pPr>
      <w:r>
        <w:rPr>
          <w:rFonts w:ascii="Times New Roman" w:hAnsi="Times New Roman" w:eastAsia="SimSun"/>
          <w:sz w:val="24"/>
          <w:szCs w:val="24"/>
        </w:rPr>
        <w:t xml:space="preserve">Penang Institute. (n.d.). Crafting employment for persons with learning disabilities is a sound socio-economic stratagem. https://penanginstitute.org/wp-content/uploads/2025/09/Crafting-Employment-for-Persons-with-Learning-Disabilities-is-a-Sound-Socio-economic-Stratagem-1.pdf</w:t>
      </w:r>
    </w:p>
    <w:p>
      <w:pPr>
        <w:ind w:left="720" w:hanging="720"/>
      </w:pPr>
      <w:r>
        <w:rPr>
          <w:rFonts w:ascii="Times New Roman" w:hAnsi="Times New Roman" w:eastAsia="SimSun"/>
          <w:sz w:val="24"/>
          <w:szCs w:val="24"/>
        </w:rPr>
        <w:t xml:space="preserve">Shen, L. (2019). Research and practice on career-development education for students with intellectual disabilities. Journal of Special Education in Shanghai. https://spe.hpe.cn/P/C/284111.htm</w:t>
      </w:r>
    </w:p>
    <w:p>
      <w:pPr>
        <w:ind w:left="720" w:hanging="720"/>
      </w:pPr>
      <w:r>
        <w:rPr>
          <w:rFonts w:ascii="Times New Roman" w:hAnsi="Times New Roman" w:eastAsia="SimSun"/>
          <w:sz w:val="24"/>
          <w:szCs w:val="24"/>
        </w:rPr>
        <w:t xml:space="preserve">Shanghai Municipal Education Commission. (2018). Shanghai special secondary vocational education school (class) curriculum plan (trial). https://edu.sh.gov.cn/shgy_tsjy_gz_1/20211222/v2-0015-gw_402142018001.html</w:t>
      </w:r>
    </w:p>
    <w:p>
      <w:pPr>
        <w:ind w:left="720" w:hanging="720"/>
      </w:pPr>
      <w:r>
        <w:rPr>
          <w:rFonts w:ascii="Times New Roman" w:hAnsi="Times New Roman" w:eastAsia="SimSun"/>
          <w:sz w:val="24"/>
          <w:szCs w:val="24"/>
        </w:rPr>
        <w:t xml:space="preserve">Shanghai Municipal Education Commission. (2024, September 12). Reply to Proposal No. 0001 of the 14th Municipal Committee of the Chinese People's Political Consultative Conference. https://edu.sh.gov.cn/xxgk2_zhzw_jyta_02/20240912/d88eb16b585b4fe2a89b7d4feb7d337d.html</w:t>
      </w:r>
    </w:p>
    <w:p>
      <w:pPr>
        <w:ind w:left="720" w:hanging="720"/>
      </w:pPr>
      <w:r>
        <w:rPr>
          <w:rFonts w:ascii="Times New Roman" w:hAnsi="Times New Roman" w:eastAsia="SimSun"/>
          <w:sz w:val="24"/>
          <w:szCs w:val="24"/>
        </w:rPr>
        <w:t xml:space="preserve">Shanghai Municipal Education Commission. (2026, September 21). Developing skilled talent: Shanghai's vocational education plan for 2026-2030 [Multimedia]. https://english.shanghai.gov.cn/en-WorldSkillsMultimedia/20260921/e548006858f84443b2fa2ac9da419845.html</w:t>
      </w:r>
    </w:p>
    <w:p>
      <w:pPr>
        <w:ind w:left="720" w:hanging="720"/>
      </w:pPr>
      <w:r>
        <w:rPr>
          <w:rFonts w:ascii="Times New Roman" w:hAnsi="Times New Roman" w:eastAsia="SimSun"/>
          <w:sz w:val="24"/>
          <w:szCs w:val="24"/>
        </w:rPr>
        <w:t xml:space="preserve">Shanghai Municipal Education Commission, &amp; Shanghai Disabled Persons' Federation. (2017). Implementation opinions on strengthening special vocational education management. http://fegw.sh.gov.cn/type9/20211228/688ed5de8f764b378dd79275246963ad.html</w:t>
      </w:r>
    </w:p>
    <w:p>
      <w:pPr>
        <w:ind w:left="720" w:hanging="720"/>
      </w:pPr>
      <w:r>
        <w:rPr>
          <w:rFonts w:ascii="Times New Roman" w:hAnsi="Times New Roman" w:eastAsia="SimSun"/>
          <w:sz w:val="24"/>
          <w:szCs w:val="24"/>
        </w:rPr>
        <w:t xml:space="preserve">Shanghai Municipal Finance Bureau, Shanghai Tax Service (STB), Shanghai Human Resources and Social Security Bureau, &amp; Shanghai Disabled Persons' Federation. (2020). Implementation measures for collection and use management of Shanghai Disability Employment Security Fund (Hu Cai Fa [2020] No. 9). https://www.shanghai.gov.cn/nw12344/20260820/c11a99b20ad340839a9c55bbea9885de.html</w:t>
      </w:r>
    </w:p>
    <w:p>
      <w:pPr>
        <w:ind w:left="720" w:hanging="720"/>
      </w:pPr>
      <w:r>
        <w:rPr>
          <w:rFonts w:ascii="Times New Roman" w:hAnsi="Times New Roman" w:eastAsia="SimSun"/>
          <w:sz w:val="24"/>
          <w:szCs w:val="24"/>
        </w:rPr>
        <w:t xml:space="preserve">Shanghai Municipal Government. (2026a, August 20). Shanghai's 15th Five-Year Plan for education development (2026-2030): Developing skilled talent. https://www.shanghai.gov.cn/nw12344/20260820/c11a99b20ad340839a9c55bbea9885de.html</w:t>
      </w:r>
    </w:p>
    <w:p>
      <w:pPr>
        <w:ind w:left="720" w:hanging="720"/>
      </w:pPr>
      <w:r>
        <w:rPr>
          <w:rFonts w:ascii="Times New Roman" w:hAnsi="Times New Roman" w:eastAsia="SimSun"/>
          <w:sz w:val="24"/>
          <w:szCs w:val="24"/>
        </w:rPr>
        <w:t xml:space="preserve">Shanghai Municipal Human Resources and Social Security Bureau. (2026b, April 13). Skills Enhancement Year action plan: Skilled-talent training, new occupations and special vocational-ability pilots. https://english.shanghai.gov.cn/en-Latest-TalentsinShanghai/20260413/2fa9e41a0c46470897dc097213ff5f09.html</w:t>
      </w:r>
    </w:p>
    <w:p>
      <w:pPr>
        <w:ind w:left="720" w:hanging="720"/>
      </w:pPr>
      <w:r>
        <w:rPr>
          <w:rFonts w:ascii="Times New Roman" w:hAnsi="Times New Roman" w:eastAsia="SimSun"/>
          <w:sz w:val="24"/>
          <w:szCs w:val="24"/>
        </w:rPr>
        <w:t xml:space="preserve">Shanghai Municipal People's Government. (2025, December 2). Shanghai three-year-action-plan for promoting the employment of persons with disabilities (2025-2027). https://www.shanghai.gov.cn/nw12344/20251222/5774ea5c13c74cec941368812adbbd7a.html</w:t>
      </w:r>
    </w:p>
    <w:p>
      <w:pPr>
        <w:ind w:left="720" w:hanging="720"/>
      </w:pPr>
      <w:r>
        <w:rPr>
          <w:rFonts w:ascii="Times New Roman" w:hAnsi="Times New Roman" w:eastAsia="SimSun"/>
          <w:sz w:val="24"/>
          <w:szCs w:val="24"/>
        </w:rPr>
        <w:t xml:space="preserve">Shanghai Municipal Women and Children Work Committee. (2021, January 27). The internship dilemma of special children. http://fegw.sh.gov.cn/type3/20210127/c620bd884fec49fd8a104d15ce6433ac.html</w:t>
      </w:r>
    </w:p>
    <w:p>
      <w:pPr>
        <w:ind w:left="720" w:hanging="720"/>
      </w:pPr>
      <w:r>
        <w:rPr>
          <w:rFonts w:ascii="Times New Roman" w:hAnsi="Times New Roman" w:eastAsia="SimSun"/>
          <w:sz w:val="24"/>
          <w:szCs w:val="24"/>
        </w:rPr>
        <w:t xml:space="preserve">Shanghai Vocational Education Online. (2026, May 18). Fengxian secondary vocational school: Special-education students job-shadowing at agricultural, car-wash, charity-supermarket and pet-experience bases. https://mp.weixin.qq.com/s/Zb1LSZ7TKpSUiUPFJn0aLQ</w:t>
      </w:r>
    </w:p>
    <w:p>
      <w:pPr>
        <w:ind w:left="720" w:hanging="720"/>
      </w:pPr>
      <w:r>
        <w:rPr>
          <w:rFonts w:ascii="Times New Roman" w:hAnsi="Times New Roman" w:eastAsia="SimSun"/>
          <w:sz w:val="24"/>
          <w:szCs w:val="24"/>
        </w:rPr>
        <w:t xml:space="preserve">Star/MIND. (2018, May 6). Different levels based on individual abilities: Wisma Harapan. https://mind.org.my/news/different-levels-based-on-individual-abilities/</w:t>
      </w:r>
    </w:p>
    <w:p>
      <w:pPr>
        <w:ind w:left="720" w:hanging="720"/>
      </w:pPr>
      <w:r>
        <w:rPr>
          <w:rFonts w:ascii="Times New Roman" w:hAnsi="Times New Roman" w:eastAsia="SimSun"/>
          <w:sz w:val="24"/>
          <w:szCs w:val="24"/>
        </w:rPr>
        <w:t xml:space="preserve">Tencent News. (2024, April 21). First experience of workplace life for special-education-class youth. https://news.qq.com/rain/a/20240421A00R6800</w:t>
      </w:r>
    </w:p>
    <w:p>
      <w:pPr>
        <w:ind w:left="720" w:hanging="720"/>
      </w:pPr>
      <w:r>
        <w:rPr>
          <w:rFonts w:ascii="Times New Roman" w:hAnsi="Times New Roman" w:eastAsia="SimSun"/>
          <w:sz w:val="24"/>
          <w:szCs w:val="24"/>
        </w:rPr>
        <w:t xml:space="preserve">The Star. (2026, July 7). 1 Utama's AmazeWork opens doors for people with autism. https://wakeup.sg/malaysia-autism-work-programme/</w:t>
      </w:r>
    </w:p>
    <w:p>
      <w:pPr>
        <w:ind w:left="720" w:hanging="720"/>
      </w:pPr>
      <w:r>
        <w:rPr>
          <w:rFonts w:ascii="Times New Roman" w:hAnsi="Times New Roman" w:eastAsia="SimSun"/>
          <w:sz w:val="24"/>
          <w:szCs w:val="24"/>
        </w:rPr>
        <w:t xml:space="preserve">WALS. (2022). Additional information for school visit: Sekolah Menengah Pendidikan Khas Vokasional Shah Alam. https://www.walsnet.org/2022/additional-information-for-school-visit</w:t>
      </w:r>
    </w:p>
    <w:p>
      <w:pPr>
        <w:ind w:left="720" w:hanging="720"/>
      </w:pPr>
      <w:r>
        <w:rPr>
          <w:rFonts w:ascii="Times New Roman" w:hAnsi="Times New Roman" w:eastAsia="SimSun"/>
          <w:sz w:val="24"/>
          <w:szCs w:val="24"/>
        </w:rPr>
        <w:t xml:space="preserve">Xianchuang Public Welfare Service Center, Fengxian District. (2026, May 11). Job-shadowing at Fengxian charity supermarket for special-education students. https://mp.weixin.qq.com/s/gKcoFs3PGrJhAOOgdBW6Ww</w:t>
      </w:r>
    </w:p>
    <w:p>
      <w:pPr>
        <w:ind w:left="720" w:hanging="720"/>
      </w:pPr>
      <w:r>
        <w:rPr>
          <w:rFonts w:ascii="Times New Roman" w:hAnsi="Times New Roman" w:eastAsia="SimSun"/>
          <w:sz w:val="24"/>
          <w:szCs w:val="24"/>
        </w:rPr>
        <w:t xml:space="preserve">Xu, T. X., &amp; Su, H. (2016). From school to employment: Development and enlightenment of American transition-model for students with disabilities. Disability Research, (2), 25-29.</w:t>
      </w:r>
    </w:p>
    <w:p>
      <w:pPr>
        <w:ind w:left="720" w:hanging="720"/>
      </w:pPr>
      <w:r>
        <w:rPr>
          <w:rFonts w:ascii="Times New Roman" w:hAnsi="Times New Roman" w:eastAsia="SimSun"/>
          <w:sz w:val="24"/>
          <w:szCs w:val="24"/>
        </w:rPr>
        <w:t xml:space="preserve">Yang, Q. P. (2021, January 26). Proposal on building internship bases for students with intellectual disability, autism and cerebral palsy and providing funding subsidies to receiving enterprises. https://www.icppcc.cn/newsDetail_1055588</w:t>
      </w:r>
    </w:p>
    <w:p>
      <w:pPr>
        <w:ind w:left="720" w:hanging="720"/>
      </w:pPr>
      <w:r>
        <w:rPr>
          <w:rFonts w:ascii="Times New Roman" w:hAnsi="Times New Roman" w:eastAsia="SimSun"/>
          <w:sz w:val="24"/>
          <w:szCs w:val="24"/>
        </w:rPr>
        <w:t xml:space="preserve">Yin, S. L. (2022). Research on the content of employment-transition services for students with disabilities. Modern Business Trade Industry, 43(16), 107-109.</w:t>
      </w:r>
    </w:p>
    <w:p>
      <w:pPr>
        <w:ind w:left="720" w:hanging="720"/>
      </w:pPr>
      <w:r>
        <w:rPr>
          <w:rFonts w:ascii="Times New Roman" w:hAnsi="Times New Roman" w:eastAsia="SimSun"/>
          <w:sz w:val="24"/>
          <w:szCs w:val="24"/>
        </w:rPr>
        <w:t xml:space="preserve">Yusop, S. Z. (2024). Job Coach development in career transition in Malaysia. https://hrmars.com/papers_submitted/22358/job-coach-development-in-career-transition-in-malaysia.pdf</w:t>
      </w:r>
    </w:p>
    <w:p>
      <w:pPr>
        <w:ind w:left="720" w:hanging="720"/>
      </w:pPr>
      <w:r>
        <w:rPr>
          <w:rFonts w:ascii="Times New Roman" w:hAnsi="Times New Roman" w:eastAsia="SimSun"/>
          <w:sz w:val="24"/>
          <w:szCs w:val="24"/>
        </w:rPr>
        <w:t xml:space="preserve">Zhang, Y., Ding, Y. L., &amp; Xu, T. X. (2023). Connotation, dilemma and outlet of cross-department collaboration in special-students' employment transition. Modern Special Education, (12), 44-51.</w:t>
      </w:r>
    </w:p>
    <w:p>
      <w:pPr>
        <w:ind w:left="720" w:hanging="720"/>
      </w:pPr>
      <w:r>
        <w:rPr>
          <w:rFonts w:ascii="Times New Roman" w:hAnsi="Times New Roman" w:eastAsia="SimSun"/>
          <w:sz w:val="24"/>
          <w:szCs w:val="24"/>
        </w:rPr>
        <w:t xml:space="preserve">Zhou, Z. (2022). Employment-oriented practice exploration of special-vocational-education: Taking the youth-employment-support-model of L special-education-school for mentally disabled youth as example. Vocational Education Research, (7), 56-60.</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eastAsia="思源黑体" w:ascii="Times New Roman" w:hAnsi="Times New Roman" w:cs="Times New Roman"/>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eastAsia="思源黑体" w:ascii="Times New Roman" w:hAnsi="Times New Roman" w:cs="Times New Roman"/>
      <w:b/>
      <w:bCs/>
      <w:color w:val="365F91" w:themeColor="accent1" w:themeShade="BF"/>
      <w:sz w:val="32"/>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eastAsia="思源黑体" w:ascii="Times New Roman" w:hAnsi="Times New Roman" w:cs="Times New Roman"/>
      <w:b/>
      <w:bCs/>
      <w:color w:val="4F81BD" w:themeColor="accent1"/>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eastAsia="思源黑体" w:ascii="Times New Roman" w:hAnsi="Times New Roman" w:cs="Times New Roman"/>
      <w:b/>
      <w:bCs/>
      <w:color w:val="4F81BD" w:themeColor="accent1"/>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{"Label":"1","ContentProducer":"001191440300708461136T1WFUO","ProduceID":"80c94861401affe460a8eaceadec95a3-rUYC","ReservedCode1":"{\"Type\":\" TC260PG\",\"Version\":1,\"Bindings\":[{\"Type\":\"soft\",\"AlgID\":\"sm3\",\"Value\":\"c1da616c7e77ac75c9617bb264fda1bce7f3b4ad57d4929f14302e36047c5289\"},{\"Type\":\"hash\",\"AlgID\":\"sm3\",\"Value\":\"3a49ae6b6dc5ff890447516afe427620c41fed170e622e0c30708bf5584c5622\"}],\"PubSD\":[{\"Type\":\"DS\",\"AlgID\":\"sm2\",\"TBSData\":{\"Type\":\"Binding\",\"BType\":\"hash\"},\"Signature\":\"304602210085c3e461ec75423d095fc9b556cce8a381ff97b5b67baeaa0c694287ab3246c402210089595b2cf677aa48a6d33a85e26778099f8b46b0bad693b16a0efe2bf94ee5c5\"},{\"Type\":\"PubKey\",\"AlgID\":\"sm2\",\"KeyValue\":\"0407f79b28a17a752b3aae4305c98b48978213832729a2571850b1310b2bc9fe8fee039ccf25ebfeac27502414d9fcef792d777183c98893d226171c2f7a3289a2\"}],\"Extension\":{\"Timestamp\":1791509802,\"KeyVersion\":\"v1-TxLeOmf7bqU223\"}}","ContentPropagator":"001191440300708461136T1WFUO","PropagateID":"80c94861401affe460a8eaceadec95a3-rUYC","ReservedCode2":"{\"Type\":\" TC260PG\",\"Version\":1,\"Bindings\":[{\"Type\":\"soft\",\"AlgID\":\"sm3\",\"Value\":\"c1da616c7e77ac75c9617bb264fda1bce7f3b4ad57d4929f14302e36047c5289\"},{\"Type\":\"hash\",\"AlgID\":\"sm3\",\"Value\":\"3a49ae6b6dc5ff890447516afe427620c41fed170e622e0c30708bf5584c5622\"}],\"PubSD\":[{\"Type\":\"DS\",\"AlgID\":\"sm2\",\"TBSData\":{\"Type\":\"Binding\",\"BType\":\"hash\"},\"Signature\":\"3046022100b8595ffdfcd0a8c3a7c05087c22f57bd54dc95d82ccf03c75410c9955b8f8b17022100b195c97a8a742017b61fa56fc5e57d83740a2a100cd8bb7bfbd800f72d107652\"},{\"Type\":\"PubKey\",\"AlgID\":\"sm2\",\"KeyValue\":\"0407f79b28a17a752b3aae4305c98b48978213832729a2571850b1310b2bc9fe8fee039ccf25ebfeac27502414d9fcef792d777183c98893d226171c2f7a3289a2\"}],\"Extension\":{\"Timestamp\":1791509802,\"KeyVersion\":\"v1-TxLeOmf7bqU223\"}}"}</vt:lpwstr>
  </property>
</Properties>
</file>