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
  <Relationship Id="rId3" Type="http://schemas.openxmlformats.org/package/2006/relationships/metadata/core-properties" Target="docProps/core.xml"></Relationship>
  <Relationship Id="rId4" Type="http://schemas.openxmlformats.org/officeDocument/2006/relationships/extended-properties" Target="docProps/app.xml"></Relationship>
  <Relationship Id="rId1" Type="http://schemas.openxmlformats.org/officeDocument/2006/relationships/officeDocument" Target="word/document.xml"></Relationship>
  <Relationship Id="rId2" Type="http://schemas.openxmlformats.org/package/2006/relationships/metadata/thumbnail" Target="docProps/thumbnail.jpeg"></Relationship>
  <Relationship Id="rId5" Type="http://schemas.openxmlformats.org/officeDocument/2006/relationships/custom-properties" Target="docProps/custom.xml"></Relationship>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Times New Roman" w:hAnsi="Times New Roman" w:eastAsia="宋体"/>
          <w:b/>
          <w:sz w:val="32"/>
        </w:rPr>
        <w:t>上海与吉隆坡都会区特殊职业教育与就业转衔的比较研究</w:t>
      </w:r>
    </w:p>
    <w:p>
      <w:pPr>
        <w:spacing w:after="280"/>
        <w:jc w:val="center"/>
      </w:pPr>
      <w:r>
        <w:rPr>
          <w:rFonts w:ascii="Times New Roman" w:hAnsi="Times New Roman" w:eastAsia="宋体"/>
          <w:b w:val="0"/>
          <w:sz w:val="24"/>
        </w:rPr>
        <w:t>基于学校课程、技能证书、实习实践与持续就业支持的多维分析</w:t>
      </w:r>
    </w:p>
    <w:p>
      <w:pPr>
        <w:jc w:val="center"/>
      </w:pPr>
      <w:r>
        <w:rPr>
          <w:rFonts w:ascii="Times New Roman" w:hAnsi="Times New Roman" w:eastAsia="宋体"/>
          <w:b w:val="0"/>
          <w:sz w:val="24"/>
        </w:rPr>
        <w:t xml:space="preserve">作者  </w:t>
      </w:r>
      <w:r>
        <w:rPr>
          <w:rFonts w:ascii="Times New Roman" w:hAnsi="Times New Roman" w:eastAsia="宋体"/>
          <w:b w:val="0"/>
          <w:sz w:val="24"/>
        </w:rPr>
        <w:t>[作者姓名]</w:t>
      </w:r>
    </w:p>
    <w:p>
      <w:pPr>
        <w:jc w:val="center"/>
      </w:pPr>
      <w:r>
        <w:rPr>
          <w:rFonts w:ascii="Times New Roman" w:hAnsi="Times New Roman" w:eastAsia="宋体"/>
          <w:b w:val="0"/>
          <w:sz w:val="24"/>
        </w:rPr>
        <w:t xml:space="preserve">所属机构  </w:t>
      </w:r>
      <w:r>
        <w:rPr>
          <w:rFonts w:ascii="Times New Roman" w:hAnsi="Times New Roman" w:eastAsia="宋体"/>
          <w:b w:val="0"/>
          <w:sz w:val="24"/>
        </w:rPr>
        <w:t>[所属机构]</w:t>
      </w:r>
    </w:p>
    <w:p>
      <w:pPr>
        <w:jc w:val="center"/>
      </w:pPr>
      <w:r>
        <w:rPr>
          <w:rFonts w:ascii="Times New Roman" w:hAnsi="Times New Roman" w:eastAsia="宋体"/>
          <w:b w:val="0"/>
          <w:sz w:val="24"/>
        </w:rPr>
        <w:t xml:space="preserve">其他  </w:t>
      </w:r>
      <w:r>
        <w:rPr>
          <w:rFonts w:ascii="Times New Roman" w:hAnsi="Times New Roman" w:eastAsia="宋体"/>
          <w:b w:val="0"/>
          <w:sz w:val="24"/>
        </w:rPr>
        <w:t>[课程 / 指导教师 / 日期]</w:t>
      </w:r>
    </w:p>
    <w:p>
      <w:r>
        <w:br w:type="page"/>
      </w:r>
    </w:p>
    <w:p>
      <w:pPr>
        <w:spacing w:after="200"/>
        <w:jc w:val="center"/>
      </w:pPr>
      <w:r>
        <w:rPr>
          <w:rFonts w:ascii="Times New Roman" w:hAnsi="Times New Roman" w:eastAsia="宋体"/>
          <w:b/>
          <w:sz w:val="28"/>
        </w:rPr>
        <w:t>目　录</w:t>
      </w:r>
    </w:p>
    <w:p>
      <w:r>
        <w:rPr>
          <w:rFonts w:ascii="Times New Roman" w:hAnsi="Times New Roman" w:eastAsia="宋体"/>
          <w:b w:val="0"/>
          <w:sz w:val="24"/>
        </w:rPr>
        <w:t>摘要</w:t>
      </w:r>
    </w:p>
    <w:p>
      <w:r>
        <w:rPr>
          <w:rFonts w:ascii="Times New Roman" w:hAnsi="Times New Roman" w:eastAsia="宋体"/>
          <w:b w:val="0"/>
          <w:sz w:val="24"/>
        </w:rPr>
        <w:t>1　导论与比较框架</w:t>
      </w:r>
    </w:p>
    <w:p>
      <w:r>
        <w:rPr>
          <w:rFonts w:ascii="Times New Roman" w:hAnsi="Times New Roman" w:eastAsia="宋体"/>
          <w:b w:val="0"/>
          <w:sz w:val="24"/>
        </w:rPr>
        <w:t>2　政策框架与制度定位</w:t>
      </w:r>
    </w:p>
    <w:p>
      <w:r>
        <w:rPr>
          <w:rFonts w:ascii="Times New Roman" w:hAnsi="Times New Roman" w:eastAsia="宋体"/>
          <w:b w:val="0"/>
          <w:sz w:val="24"/>
        </w:rPr>
        <w:t xml:space="preserve">　2.1　上海：区级特教办学点与面向企业的激励机制</w:t>
      </w:r>
    </w:p>
    <w:p>
      <w:r>
        <w:rPr>
          <w:rFonts w:ascii="Times New Roman" w:hAnsi="Times New Roman" w:eastAsia="宋体"/>
          <w:b w:val="0"/>
          <w:sz w:val="24"/>
        </w:rPr>
        <w:t xml:space="preserve">　2.2　吉隆坡：多部门分割式治理与面向企业的激励机制</w:t>
      </w:r>
    </w:p>
    <w:p>
      <w:r>
        <w:rPr>
          <w:rFonts w:ascii="Times New Roman" w:hAnsi="Times New Roman" w:eastAsia="宋体"/>
          <w:b w:val="0"/>
          <w:sz w:val="24"/>
        </w:rPr>
        <w:t>3　课程、培养路径与技能证书</w:t>
      </w:r>
    </w:p>
    <w:p>
      <w:r>
        <w:rPr>
          <w:rFonts w:ascii="Times New Roman" w:hAnsi="Times New Roman" w:eastAsia="宋体"/>
          <w:b w:val="0"/>
          <w:sz w:val="24"/>
        </w:rPr>
        <w:t xml:space="preserve">　3.1　上海奉贤中专特教班：四年烹饪导向训练与校内—校外双层实践</w:t>
      </w:r>
    </w:p>
    <w:p>
      <w:r>
        <w:rPr>
          <w:rFonts w:ascii="Times New Roman" w:hAnsi="Times New Roman" w:eastAsia="宋体"/>
          <w:b w:val="0"/>
          <w:sz w:val="24"/>
        </w:rPr>
        <w:t xml:space="preserve">　3.2　吉隆坡都会区：SMPKV 国家技能证书体系与多机构分流路径</w:t>
      </w:r>
    </w:p>
    <w:p>
      <w:r>
        <w:rPr>
          <w:rFonts w:ascii="Times New Roman" w:hAnsi="Times New Roman" w:eastAsia="宋体"/>
          <w:b w:val="0"/>
          <w:sz w:val="24"/>
        </w:rPr>
        <w:t>4　奉贤校外实习资源的评估</w:t>
      </w:r>
    </w:p>
    <w:p>
      <w:r>
        <w:rPr>
          <w:rFonts w:ascii="Times New Roman" w:hAnsi="Times New Roman" w:eastAsia="宋体"/>
          <w:b w:val="0"/>
          <w:sz w:val="24"/>
        </w:rPr>
        <w:t>5　工作教练与持续就业支持</w:t>
      </w:r>
    </w:p>
    <w:p>
      <w:r>
        <w:rPr>
          <w:rFonts w:ascii="Times New Roman" w:hAnsi="Times New Roman" w:eastAsia="宋体"/>
          <w:b w:val="0"/>
          <w:sz w:val="24"/>
        </w:rPr>
        <w:t>6　就业结果、留职因素与数据局限</w:t>
      </w:r>
    </w:p>
    <w:p>
      <w:r>
        <w:rPr>
          <w:rFonts w:ascii="Times New Roman" w:hAnsi="Times New Roman" w:eastAsia="宋体"/>
          <w:b w:val="0"/>
          <w:sz w:val="24"/>
        </w:rPr>
        <w:t>7　综合比较与模型总结</w:t>
      </w:r>
    </w:p>
    <w:p>
      <w:r>
        <w:rPr>
          <w:rFonts w:ascii="Times New Roman" w:hAnsi="Times New Roman" w:eastAsia="宋体"/>
          <w:b w:val="0"/>
          <w:sz w:val="24"/>
        </w:rPr>
        <w:t xml:space="preserve">　7.1　制度模式与权衡取舍</w:t>
      </w:r>
    </w:p>
    <w:p>
      <w:r>
        <w:rPr>
          <w:rFonts w:ascii="Times New Roman" w:hAnsi="Times New Roman" w:eastAsia="宋体"/>
          <w:b w:val="0"/>
          <w:sz w:val="24"/>
        </w:rPr>
        <w:t xml:space="preserve">　7.2　两城共同的系统性挑战</w:t>
      </w:r>
    </w:p>
    <w:p>
      <w:r>
        <w:rPr>
          <w:rFonts w:ascii="Times New Roman" w:hAnsi="Times New Roman" w:eastAsia="宋体"/>
          <w:b w:val="0"/>
          <w:sz w:val="24"/>
        </w:rPr>
        <w:t>8　结论与政策启示</w:t>
      </w:r>
    </w:p>
    <w:p>
      <w:r>
        <w:rPr>
          <w:rFonts w:ascii="Times New Roman" w:hAnsi="Times New Roman" w:eastAsia="宋体"/>
          <w:b w:val="0"/>
          <w:sz w:val="24"/>
        </w:rPr>
        <w:t xml:space="preserve">　8.1　结论</w:t>
      </w:r>
    </w:p>
    <w:p>
      <w:r>
        <w:rPr>
          <w:rFonts w:ascii="Times New Roman" w:hAnsi="Times New Roman" w:eastAsia="宋体"/>
          <w:b w:val="0"/>
          <w:sz w:val="24"/>
        </w:rPr>
        <w:t xml:space="preserve">　8.2　政策启示</w:t>
      </w:r>
    </w:p>
    <w:p>
      <w:r>
        <w:rPr>
          <w:rFonts w:ascii="Times New Roman" w:hAnsi="Times New Roman" w:eastAsia="宋体"/>
          <w:b w:val="0"/>
          <w:sz w:val="24"/>
        </w:rPr>
        <w:t xml:space="preserve">　8.3　研究局限</w:t>
      </w:r>
    </w:p>
    <w:p>
      <w:r>
        <w:rPr>
          <w:rFonts w:ascii="Times New Roman" w:hAnsi="Times New Roman" w:eastAsia="宋体"/>
          <w:b w:val="0"/>
          <w:sz w:val="24"/>
        </w:rPr>
        <w:t xml:space="preserve">　8.4　未来研究方向</w:t>
      </w:r>
    </w:p>
    <w:p>
      <w:r>
        <w:rPr>
          <w:rFonts w:ascii="Times New Roman" w:hAnsi="Times New Roman" w:eastAsia="宋体"/>
          <w:b w:val="0"/>
          <w:sz w:val="24"/>
        </w:rPr>
        <w:t>参考文献</w:t>
      </w:r>
    </w:p>
    <w:p>
      <w:r>
        <w:br w:type="page"/>
      </w:r>
    </w:p>
    <w:p>
      <w:pPr>
        <w:spacing w:before="240" w:after="120"/>
      </w:pPr>
      <w:r>
        <w:rPr>
          <w:rFonts w:ascii="Times New Roman" w:hAnsi="Times New Roman" w:eastAsia="宋体"/>
          <w:b/>
          <w:sz w:val="28"/>
        </w:rPr>
        <w:t>摘要</w:t>
      </w:r>
    </w:p>
    <w:p>
      <w:pPr>
        <w:ind w:firstLine="720"/>
      </w:pPr>
      <w:r>
        <w:rPr>
          <w:rFonts w:ascii="Times New Roman" w:hAnsi="Times New Roman" w:eastAsia="宋体"/>
          <w:b w:val="0"/>
          <w:sz w:val="24"/>
        </w:rPr>
        <w:t>本研究采用"学校—职场过渡（STWT）理论 + 多中心治理逻辑"相结合的混合演绎—归纳分析框架，对上海奉贤中专特殊职教班与吉隆坡都会区的特殊职业教育及学校—职场过渡体系进行比较分析。分析围绕四个维度展开——政策与制度定位、课程与技能证书、实习与岗位认知实践、入职后持续就业支持，并有意将这四个维度作为理论推演的结果，而非经验性分类。研究发现：上海形成以学校为中心的闭环体系，具备标准化的个别化教育计划（IEP）与递进式实习安排，但在真实企业实习岗位供给与独立第三方工作教练（Job Coach）服务方面存在短板；吉隆坡采用多部门治理模式，整合 SMPKV 证书体系、JKM 工作教练网络、庇护工场与 NGO 项目，具备较为成熟的岗位匹配机制，但面临数据管理碎片化与证书标准不统一的问题。两地在企业端激励方面差异显著：上海将按比例缴费的"软义务"（残疾人就业保障金，残保金）与增值税即征即退、工资加计扣除、城镇土地使用税减免相结合；马来西亚则不对私营企业设定强制雇佣配额，主要依靠 JKM 培训与安置服务，而非大规模税收返还。本研究认为，两种模式均非绝对优劣，而是各自治理体系内生权衡的结果；在理论层面，本文提出将四类制度配置与四类转衔结果相联结的类型学；在方法层面，研究受限于公开可得的二手资料，无法建立因果论断，也无法直接比较两地就业率，只能比较制度机制；在此基础上，本文提出以多维指标体系替代单一就业率指标。</w:t>
      </w:r>
    </w:p>
    <w:p>
      <w:r>
        <w:rPr>
          <w:rFonts w:ascii="Times New Roman" w:hAnsi="Times New Roman" w:eastAsia="宋体"/>
          <w:b/>
          <w:sz w:val="24"/>
        </w:rPr>
        <w:t>关键词：</w:t>
      </w:r>
      <w:r>
        <w:rPr>
          <w:rFonts w:ascii="Times New Roman" w:hAnsi="Times New Roman" w:eastAsia="宋体"/>
          <w:b w:val="0"/>
          <w:sz w:val="24"/>
        </w:rPr>
        <w:t>特殊职业教育；就业转衔；工作教练（Job Coach）；支持性就业；学校—职场过渡理论；多中心治理；上海奉贤；吉隆坡；SMPKV；持续就业</w:t>
      </w:r>
    </w:p>
    <w:tbl>
      <w:tblPr>
        <w:tblStyle w:val="TableGrid"/>
        <w:tblW w:type="auto" w:w="0"/>
        <w:jc w:val="center"/>
        <w:tblLook w:firstColumn="1" w:firstRow="1" w:lastColumn="0" w:lastRow="0" w:noHBand="0" w:noVBand="1" w:val="04A0"/>
      </w:tblPr>
      <w:tblGrid>
        <w:gridCol w:w="2880"/>
        <w:gridCol w:w="2880"/>
        <w:gridCol w:w="2880"/>
      </w:tblGrid>
      <w:tr>
        <w:tc>
          <w:tcPr>
            <w:tcW w:type="dxa" w:w="2880"/>
            <w:vAlign w:val="center"/>
          </w:tcPr>
          <w:p>
            <w:r/>
            <w:r>
              <w:rPr>
                <w:rFonts w:ascii="Times New Roman" w:hAnsi="Times New Roman" w:eastAsia="宋体"/>
                <w:b/>
                <w:sz w:val="22"/>
              </w:rPr>
              <w:t>维度</w:t>
            </w:r>
          </w:p>
        </w:tc>
        <w:tc>
          <w:tcPr>
            <w:tcW w:type="dxa" w:w="2880"/>
            <w:vAlign w:val="center"/>
          </w:tcPr>
          <w:p>
            <w:r/>
            <w:r>
              <w:rPr>
                <w:rFonts w:ascii="Times New Roman" w:hAnsi="Times New Roman" w:eastAsia="宋体"/>
                <w:b/>
                <w:sz w:val="22"/>
              </w:rPr>
              <w:t>上海奉贤</w:t>
            </w:r>
          </w:p>
        </w:tc>
        <w:tc>
          <w:tcPr>
            <w:tcW w:type="dxa" w:w="2880"/>
            <w:vAlign w:val="center"/>
          </w:tcPr>
          <w:p>
            <w:r/>
            <w:r>
              <w:rPr>
                <w:rFonts w:ascii="Times New Roman" w:hAnsi="Times New Roman" w:eastAsia="宋体"/>
                <w:b/>
                <w:sz w:val="22"/>
              </w:rPr>
              <w:t>吉隆坡都会区</w:t>
            </w:r>
          </w:p>
        </w:tc>
      </w:tr>
      <w:tr>
        <w:tc>
          <w:tcPr>
            <w:tcW w:type="dxa" w:w="2880"/>
            <w:vAlign w:val="center"/>
          </w:tcPr>
          <w:p>
            <w:r/>
            <w:r>
              <w:rPr>
                <w:rFonts w:ascii="Times New Roman" w:hAnsi="Times New Roman" w:eastAsia="宋体"/>
                <w:b/>
                <w:sz w:val="20"/>
              </w:rPr>
              <w:t>个体</w:t>
            </w:r>
          </w:p>
        </w:tc>
        <w:tc>
          <w:tcPr>
            <w:tcW w:type="dxa" w:w="2880"/>
            <w:vAlign w:val="center"/>
          </w:tcPr>
          <w:p>
            <w:r/>
            <w:r>
              <w:rPr>
                <w:rFonts w:ascii="Times New Roman" w:hAnsi="Times New Roman" w:eastAsia="宋体"/>
                <w:b w:val="0"/>
                <w:sz w:val="20"/>
              </w:rPr>
              <w:t>烹饪与咖啡服务单项较强；通过角色模拟实践提升软技能。</w:t>
            </w:r>
          </w:p>
        </w:tc>
        <w:tc>
          <w:tcPr>
            <w:tcW w:type="dxa" w:w="2880"/>
            <w:vAlign w:val="center"/>
          </w:tcPr>
          <w:p>
            <w:r/>
            <w:r>
              <w:rPr>
                <w:rFonts w:ascii="Times New Roman" w:hAnsi="Times New Roman" w:eastAsia="宋体"/>
                <w:b w:val="0"/>
                <w:sz w:val="20"/>
              </w:rPr>
              <w:t>SMPKV 提供正式 SKM 证书；Wisma Harapan 面向 ASD、唐氏与学习障碍；Bengkel Daya 面向中重度障碍群体。</w:t>
            </w:r>
          </w:p>
        </w:tc>
      </w:tr>
      <w:tr>
        <w:tc>
          <w:tcPr>
            <w:tcW w:type="dxa" w:w="2880"/>
            <w:vAlign w:val="center"/>
          </w:tcPr>
          <w:p>
            <w:r/>
            <w:r>
              <w:rPr>
                <w:rFonts w:ascii="Times New Roman" w:hAnsi="Times New Roman" w:eastAsia="宋体"/>
                <w:b/>
                <w:sz w:val="20"/>
              </w:rPr>
              <w:t>家庭</w:t>
            </w:r>
          </w:p>
        </w:tc>
        <w:tc>
          <w:tcPr>
            <w:tcW w:type="dxa" w:w="2880"/>
            <w:vAlign w:val="center"/>
          </w:tcPr>
          <w:p>
            <w:r/>
            <w:r>
              <w:rPr>
                <w:rFonts w:ascii="Times New Roman" w:hAnsi="Times New Roman" w:eastAsia="宋体"/>
                <w:b w:val="0"/>
                <w:sz w:val="20"/>
              </w:rPr>
              <w:t>家庭在低保与工资收入之间权衡，担忧职场挫折。</w:t>
            </w:r>
          </w:p>
        </w:tc>
        <w:tc>
          <w:tcPr>
            <w:tcW w:type="dxa" w:w="2880"/>
            <w:vAlign w:val="center"/>
          </w:tcPr>
          <w:p>
            <w:r/>
            <w:r>
              <w:rPr>
                <w:rFonts w:ascii="Times New Roman" w:hAnsi="Times New Roman" w:eastAsia="宋体"/>
                <w:b w:val="0"/>
                <w:sz w:val="20"/>
              </w:rPr>
              <w:t>登记 OKU 同样面临津贴—工作收入冲突。</w:t>
            </w:r>
          </w:p>
        </w:tc>
      </w:tr>
      <w:tr>
        <w:tc>
          <w:tcPr>
            <w:tcW w:type="dxa" w:w="2880"/>
            <w:vAlign w:val="center"/>
          </w:tcPr>
          <w:p>
            <w:r/>
            <w:r>
              <w:rPr>
                <w:rFonts w:ascii="Times New Roman" w:hAnsi="Times New Roman" w:eastAsia="宋体"/>
                <w:b/>
                <w:sz w:val="20"/>
              </w:rPr>
              <w:t>学校课程</w:t>
            </w:r>
          </w:p>
        </w:tc>
        <w:tc>
          <w:tcPr>
            <w:tcW w:type="dxa" w:w="2880"/>
            <w:vAlign w:val="center"/>
          </w:tcPr>
          <w:p>
            <w:r/>
            <w:r>
              <w:rPr>
                <w:rFonts w:ascii="Times New Roman" w:hAnsi="Times New Roman" w:eastAsia="宋体"/>
                <w:b w:val="0"/>
                <w:sz w:val="20"/>
              </w:rPr>
              <w:t>四年烹饪专业 + 新苑小舍校内基地；缺少统一的特殊群体技能等级标准。</w:t>
            </w:r>
          </w:p>
        </w:tc>
        <w:tc>
          <w:tcPr>
            <w:tcW w:type="dxa" w:w="2880"/>
            <w:vAlign w:val="center"/>
          </w:tcPr>
          <w:p>
            <w:r/>
            <w:r>
              <w:rPr>
                <w:rFonts w:ascii="Times New Roman" w:hAnsi="Times New Roman" w:eastAsia="宋体"/>
                <w:b w:val="0"/>
                <w:sz w:val="20"/>
              </w:rPr>
              <w:t>SMPKV—JPK 证书机制相对标准化；PPKI 微证书改革仍在试点。</w:t>
            </w:r>
          </w:p>
        </w:tc>
      </w:tr>
      <w:tr>
        <w:tc>
          <w:tcPr>
            <w:tcW w:type="dxa" w:w="2880"/>
            <w:vAlign w:val="center"/>
          </w:tcPr>
          <w:p>
            <w:r/>
            <w:r>
              <w:rPr>
                <w:rFonts w:ascii="Times New Roman" w:hAnsi="Times New Roman" w:eastAsia="宋体"/>
                <w:b/>
                <w:sz w:val="20"/>
              </w:rPr>
              <w:t>实习转衔</w:t>
            </w:r>
          </w:p>
        </w:tc>
        <w:tc>
          <w:tcPr>
            <w:tcW w:type="dxa" w:w="2880"/>
            <w:vAlign w:val="center"/>
          </w:tcPr>
          <w:p>
            <w:r/>
            <w:r>
              <w:rPr>
                <w:rFonts w:ascii="Times New Roman" w:hAnsi="Times New Roman" w:eastAsia="宋体"/>
                <w:b w:val="0"/>
                <w:sz w:val="20"/>
              </w:rPr>
              <w:t>宅咖洗车、慈善超市、农业实践；点位数增加但实践深度不均。</w:t>
            </w:r>
          </w:p>
        </w:tc>
        <w:tc>
          <w:tcPr>
            <w:tcW w:type="dxa" w:w="2880"/>
            <w:vAlign w:val="center"/>
          </w:tcPr>
          <w:p>
            <w:r/>
            <w:r>
              <w:rPr>
                <w:rFonts w:ascii="Times New Roman" w:hAnsi="Times New Roman" w:eastAsia="宋体"/>
                <w:b w:val="0"/>
                <w:sz w:val="20"/>
              </w:rPr>
              <w:t>PPKI、工作教练、PLPP Bangi 可用；但学校—JKM 数据严重脱节。</w:t>
            </w:r>
          </w:p>
        </w:tc>
      </w:tr>
      <w:tr>
        <w:tc>
          <w:tcPr>
            <w:tcW w:type="dxa" w:w="2880"/>
            <w:vAlign w:val="center"/>
          </w:tcPr>
          <w:p>
            <w:r/>
            <w:r>
              <w:rPr>
                <w:rFonts w:ascii="Times New Roman" w:hAnsi="Times New Roman" w:eastAsia="宋体"/>
                <w:b/>
                <w:sz w:val="20"/>
              </w:rPr>
              <w:t>工作教练</w:t>
            </w:r>
          </w:p>
        </w:tc>
        <w:tc>
          <w:tcPr>
            <w:tcW w:type="dxa" w:w="2880"/>
            <w:vAlign w:val="center"/>
          </w:tcPr>
          <w:p>
            <w:r/>
            <w:r>
              <w:rPr>
                <w:rFonts w:ascii="Times New Roman" w:hAnsi="Times New Roman" w:eastAsia="宋体"/>
                <w:b w:val="0"/>
                <w:sz w:val="20"/>
              </w:rPr>
              <w:t>班主任与门店经理承担教练职责；无常规第三方专业教练。</w:t>
            </w:r>
          </w:p>
        </w:tc>
        <w:tc>
          <w:tcPr>
            <w:tcW w:type="dxa" w:w="2880"/>
            <w:vAlign w:val="center"/>
          </w:tcPr>
          <w:p>
            <w:r/>
            <w:r>
              <w:rPr>
                <w:rFonts w:ascii="Times New Roman" w:hAnsi="Times New Roman" w:eastAsia="宋体"/>
                <w:b w:val="0"/>
                <w:sz w:val="20"/>
              </w:rPr>
              <w:t>JKM 具正式工作教练职能；NOSS 持证人员短缺；中小企业认知度低。</w:t>
            </w:r>
          </w:p>
        </w:tc>
      </w:tr>
      <w:tr>
        <w:tc>
          <w:tcPr>
            <w:tcW w:type="dxa" w:w="2880"/>
            <w:vAlign w:val="center"/>
          </w:tcPr>
          <w:p>
            <w:r/>
            <w:r>
              <w:rPr>
                <w:rFonts w:ascii="Times New Roman" w:hAnsi="Times New Roman" w:eastAsia="宋体"/>
                <w:b/>
                <w:sz w:val="20"/>
              </w:rPr>
              <w:t>企业环境</w:t>
            </w:r>
          </w:p>
        </w:tc>
        <w:tc>
          <w:tcPr>
            <w:tcW w:type="dxa" w:w="2880"/>
            <w:vAlign w:val="center"/>
          </w:tcPr>
          <w:p>
            <w:r/>
            <w:r>
              <w:rPr>
                <w:rFonts w:ascii="Times New Roman" w:hAnsi="Times New Roman" w:eastAsia="宋体"/>
                <w:b w:val="0"/>
                <w:sz w:val="20"/>
              </w:rPr>
              <w:t>以慈善关怀型企业为主；合理便利未标准化。残保金软义务 + 增值税退税、工资加计扣除与土地使用税减免（限持证者）。</w:t>
            </w:r>
          </w:p>
        </w:tc>
        <w:tc>
          <w:tcPr>
            <w:tcW w:type="dxa" w:w="2880"/>
            <w:vAlign w:val="center"/>
          </w:tcPr>
          <w:p>
            <w:r/>
            <w:r>
              <w:rPr>
                <w:rFonts w:ascii="Times New Roman" w:hAnsi="Times New Roman" w:eastAsia="宋体"/>
                <w:b w:val="0"/>
                <w:sz w:val="20"/>
              </w:rPr>
              <w:t>无强制配额；PDA 2008 反歧视与合理便利义务；激励主要通过 JKM 培训与安置服务，而非税收返还。</w:t>
            </w:r>
          </w:p>
        </w:tc>
      </w:tr>
      <w:tr>
        <w:tc>
          <w:tcPr>
            <w:tcW w:type="dxa" w:w="2880"/>
            <w:vAlign w:val="center"/>
          </w:tcPr>
          <w:p>
            <w:r/>
            <w:r>
              <w:rPr>
                <w:rFonts w:ascii="Times New Roman" w:hAnsi="Times New Roman" w:eastAsia="宋体"/>
                <w:b/>
                <w:sz w:val="20"/>
              </w:rPr>
              <w:t>政策数据</w:t>
            </w:r>
          </w:p>
        </w:tc>
        <w:tc>
          <w:tcPr>
            <w:tcW w:type="dxa" w:w="2880"/>
            <w:vAlign w:val="center"/>
          </w:tcPr>
          <w:p>
            <w:r/>
            <w:r>
              <w:rPr>
                <w:rFonts w:ascii="Times New Roman" w:hAnsi="Times New Roman" w:eastAsia="宋体"/>
                <w:b w:val="0"/>
                <w:sz w:val="20"/>
              </w:rPr>
              <w:t>区残联与特教学校记录；无统一毕业生留职数据库。</w:t>
            </w:r>
          </w:p>
        </w:tc>
        <w:tc>
          <w:tcPr>
            <w:tcW w:type="dxa" w:w="2880"/>
            <w:vAlign w:val="center"/>
          </w:tcPr>
          <w:p>
            <w:r/>
            <w:r>
              <w:rPr>
                <w:rFonts w:ascii="Times New Roman" w:hAnsi="Times New Roman" w:eastAsia="宋体"/>
                <w:b w:val="0"/>
                <w:sz w:val="20"/>
              </w:rPr>
              <w:t>SPOKU、JKM、SPM、SKM 数据分散；留职结果统计不完整。</w:t>
            </w:r>
          </w:p>
        </w:tc>
      </w:tr>
      <w:tr>
        <w:tc>
          <w:tcPr>
            <w:tcW w:type="dxa" w:w="2880"/>
            <w:vAlign w:val="center"/>
          </w:tcPr>
          <w:p>
            <w:r/>
            <w:r>
              <w:rPr>
                <w:rFonts w:ascii="Times New Roman" w:hAnsi="Times New Roman" w:eastAsia="宋体"/>
                <w:b/>
                <w:sz w:val="20"/>
              </w:rPr>
              <w:t>数据可得性</w:t>
            </w:r>
          </w:p>
        </w:tc>
        <w:tc>
          <w:tcPr>
            <w:tcW w:type="dxa" w:w="2880"/>
            <w:vAlign w:val="center"/>
          </w:tcPr>
          <w:p>
            <w:r/>
            <w:r>
              <w:rPr>
                <w:rFonts w:ascii="Times New Roman" w:hAnsi="Times New Roman" w:eastAsia="宋体"/>
                <w:b w:val="0"/>
                <w:sz w:val="20"/>
              </w:rPr>
              <w:t>有实践参与比例（约 30%）；无正式工作教练数量；未单独追踪安置后留职。</w:t>
            </w:r>
          </w:p>
        </w:tc>
        <w:tc>
          <w:tcPr>
            <w:tcW w:type="dxa" w:w="2880"/>
            <w:vAlign w:val="center"/>
          </w:tcPr>
          <w:p>
            <w:r/>
            <w:r>
              <w:rPr>
                <w:rFonts w:ascii="Times New Roman" w:hAnsi="Times New Roman" w:eastAsia="宋体"/>
                <w:b w:val="0"/>
                <w:sz w:val="20"/>
              </w:rPr>
              <w:t>有 SKM 获证数；有合计工作教练安置数；缺按机构、障碍类型拆分的留职数据。</w:t>
            </w:r>
          </w:p>
        </w:tc>
      </w:tr>
    </w:tbl>
    <w:p>
      <w:r>
        <w:rPr>
          <w:rFonts w:ascii="Times New Roman" w:hAnsi="Times New Roman" w:eastAsia="宋体"/>
          <w:b/>
          <w:sz w:val="20"/>
        </w:rPr>
        <w:t>注。</w:t>
      </w:r>
      <w:r>
        <w:rPr>
          <w:rFonts w:ascii="Times New Roman" w:hAnsi="Times New Roman" w:eastAsia="宋体"/>
          <w:b w:val="0"/>
          <w:sz w:val="20"/>
        </w:rPr>
        <w:t>ASD = 孤独症谱系障碍；JKM = 社会福利局（Jabatan Kebajikan Masyarakat）；NOSS = 国家职业技能标准（National Occupational Skills Standard）；OKU = 残障人士（Orang Kurang Upaya）；PDA =《2008 年残障人士法》；SMPKV = 特殊教育职业学校（Sekolah Menengah Pendidikan Khas Vokasional）；SKM = 马来西亚技能证书（Sijil Kemahiran Malaysia）；SPOKU = 残障人士登记系统；SPM = 马来西亚教育文凭（Sijil Pelajaran Malaysia）。末行"数据可得性"用于防止读者从不可比指标中推断可比较的就业率。根据本文所引多源比较分析改编。</w:t>
      </w:r>
    </w:p>
    <w:p>
      <w:pPr>
        <w:spacing w:before="240" w:after="120"/>
      </w:pPr>
      <w:r>
        <w:rPr>
          <w:rFonts w:ascii="Times New Roman" w:hAnsi="Times New Roman" w:eastAsia="宋体"/>
          <w:b/>
          <w:sz w:val="28"/>
        </w:rPr>
        <w:t>1　导论与比较框架</w:t>
      </w:r>
    </w:p>
    <w:p>
      <w:pPr>
        <w:ind w:firstLine="720"/>
      </w:pPr>
      <w:r>
        <w:rPr>
          <w:rFonts w:ascii="Times New Roman" w:hAnsi="Times New Roman" w:eastAsia="宋体"/>
          <w:b w:val="0"/>
          <w:sz w:val="24"/>
        </w:rPr>
        <w:t>有特殊教育需要的学生在中等特殊职业教育之后能否获得并维持有薪就业，取决于四个维度的共同效应：政策与制度定位、课程与技能证书安排、实习与岗位认知实践、毕业后的持续职场支持（Carlson 等，2020）。智力障碍、孤独症、学习障碍与肢体障碍群体在任务执行、社会沟通、感觉调节与通勤安全方面差异显著，掌握孤立的技术能力并不足以保证其适应复杂多变的真实工作场域（Basquial，2026）。国内实证研究显示，不少特殊职业教育项目过度强调课堂技能训练，而连接学校、残联、民政与企业之间的跨部门转衔机制仍不健全（Zhang 等，2023；Zhou，2022）。国际系统综述则识别出影响留职的若干关键因素，涵盖个体的硬技能与软技能、工作场所合理便利、来自主管与同事的自然支持、就业专员的持续跟进、家庭福利激励的权衡，以及宏观层面的配额与证书政策（Carlson 等，2020）。</w:t>
      </w:r>
    </w:p>
    <w:p>
      <w:pPr>
        <w:ind w:firstLine="720"/>
      </w:pPr>
      <w:r>
        <w:rPr>
          <w:rFonts w:ascii="Times New Roman" w:hAnsi="Times New Roman" w:eastAsia="宋体"/>
          <w:b w:val="0"/>
          <w:sz w:val="24"/>
        </w:rPr>
        <w:t>本研究将分析单元界定为城市层面的"特殊职业教育—就业支持"体系，避免将上海与吉隆坡误作同构的行政实体。上海通过区级中职校落实省级特殊职业教育政策（Shanghai Municipal Education Commission 与 Shanghai Disabled Persons' Federation，2017）；在马来西亚联邦行政框架下，职能分布于多个主体——教育部特殊职业学校、社会福利局（JKM）残障就业服务、由妇女家庭与社区发展部管理的庇护工场，以及 NGO 与企业学院（Dai 等，2023；Fan，2026）。本文严格将"吉隆坡"限定为联邦直辖区内的机构；莎阿南、巴生、万宜属于巴生谷通勤圈，仅作为通勤圈的参照样本。同理，上海样本仅限上海奉贤中专的特殊职教班，不能代表整个上海的特殊职业教育体系；吉隆坡样本也不能代表马来西亚所有州属。上述边界限定在防止过度外推的同时，仍允许在机制层面进行比较。</w:t>
      </w:r>
    </w:p>
    <w:p>
      <w:pPr>
        <w:ind w:firstLine="720"/>
      </w:pPr>
      <w:r>
        <w:rPr>
          <w:rFonts w:ascii="Times New Roman" w:hAnsi="Times New Roman" w:eastAsia="宋体"/>
          <w:b w:val="0"/>
          <w:sz w:val="24"/>
        </w:rPr>
        <w:t>现有关于东亚—东南亚特殊职业教育向就业过渡的比较文献仍较稀少。中文研究大多集中于国内地方个案的总结，或引介西方支持性就业模式（Li，2023；Xu 与 Su，2016）。马来西亚"TVET—残障福利"相分离的治理结构，为中国以学校为主导的特殊职业教育发展提供了有价值的对照基准（Fan，2026；Matthew，2024）。在中国—东盟职业教育合作日益深化的背景下，对成熟城市案例的比较分析，可为东南亚中小城市构建自身的转衔体系提供实践参照（Pan 与 Zhang，2025）。</w:t>
      </w:r>
    </w:p>
    <w:p>
      <w:pPr>
        <w:ind w:firstLine="720"/>
      </w:pPr>
      <w:r>
        <w:rPr>
          <w:rFonts w:ascii="Times New Roman" w:hAnsi="Times New Roman" w:eastAsia="宋体"/>
          <w:b w:val="0"/>
          <w:sz w:val="24"/>
        </w:rPr>
        <w:t>本研究的突出特征在于明确以两种互补的理论视角为立足点。学校—职场过渡（STWT）理论将"从教育到就业"视为多阶段过程，而非一次性安置事件，涵盖职业评估、技能习得、工作经验、岗位安置与安置后支持（Xu 与 Su，2016；Megat Khalid 等，2022）；支持性就业理论则聚焦安置后阶段——个别化岗位匹配、合理便利、持续工作教练辅导以及自然职场支持的逐步建立（Basquial，2026；Carlson 等，2020）；多中心治理理论提供宏观视角，用于解释权威如何在教育、福利与劳动力市场行动者之间分散或集中，以及这种分布如何影响转衔服务的连续性与碎片化（Fan，2026；Matthew，2024）。</w:t>
      </w:r>
    </w:p>
    <w:p>
      <w:pPr>
        <w:ind w:firstLine="720"/>
      </w:pPr>
      <w:r>
        <w:rPr>
          <w:rFonts w:ascii="Times New Roman" w:hAnsi="Times New Roman" w:eastAsia="宋体"/>
          <w:b w:val="0"/>
          <w:sz w:val="24"/>
        </w:rPr>
        <w:t>上述理论被用于推导四个分析维度，而非仅为装饰。STWT 理论提示转衔结果取决于各阶段之间联结的质量，因此本文把课程与证书（准备阶段）、实习与岗位认知（衔接阶段）、安置后支持（可持续性阶段）作为连续序列加以考察，而非彼此割裂的主题；支持性就业理论凸显"把人安置到岗位上"与"让安置持续下去"之间的区别，这正是单列"持续就业支持"维度的原因；多中心治理理论则预测：当责任集中于某一部门时，体系会实现标准化，但跨部门服务发育不足；当多个自治中心并存时，体系能提供专业化服务，却在协调上举步维艰。后文即以此预测进行检验。由此，四个维度具有理论依据，第七章的"权衡"论断也并非印象式评判，而是治理理论的逻辑推演。</w:t>
      </w:r>
    </w:p>
    <w:p>
      <w:pPr>
        <w:spacing w:before="240" w:after="120"/>
      </w:pPr>
      <w:r>
        <w:rPr>
          <w:rFonts w:ascii="Times New Roman" w:hAnsi="Times New Roman" w:eastAsia="宋体"/>
          <w:b/>
          <w:sz w:val="28"/>
        </w:rPr>
        <w:t>2　政策框架与制度定位</w:t>
      </w:r>
    </w:p>
    <w:p>
      <w:pPr>
        <w:spacing w:before="160" w:after="80"/>
      </w:pPr>
      <w:r>
        <w:rPr>
          <w:rFonts w:ascii="Times New Roman" w:hAnsi="Times New Roman" w:eastAsia="宋体"/>
          <w:b/>
          <w:sz w:val="24"/>
        </w:rPr>
        <w:t>2.1　上海：区级特教办学点与面向企业的激励机制</w:t>
      </w:r>
    </w:p>
    <w:p>
      <w:pPr>
        <w:ind w:firstLine="720"/>
      </w:pPr>
      <w:r>
        <w:rPr>
          <w:rFonts w:ascii="Times New Roman" w:hAnsi="Times New Roman" w:eastAsia="宋体"/>
          <w:b w:val="0"/>
          <w:sz w:val="24"/>
        </w:rPr>
        <w:t>2017 年，上海市教委与上海市残联联合印发《关于加强特殊职业教育管理的实施意见》，要求各区至少设立一处面向智力障碍、孤独症与脑瘫学生的区级特殊中等职业教育办学点，人口密集区可增设校区（Shanghai Municipal Education Commission 与 Shanghai Disabled Persons' Federation，2017）。2018 年，市教委发布《上海市特殊中等职业教育学校（班）课程方案（试行）》，适用于智力障碍、孤独症与脑瘫群体，将课程划分为公共基础、专业职业与康复三大模块，明确规定个别化教育计划（IEP），保障见习与实习学时，并将评价导向个别化职业发展追踪（Shanghai Municipal Education Commission，2018）。2024 年，市教委对政协提案的答复再次强调，特殊学校须在国家课程框架下开设生活适应与劳动技能课程，各区应提供职业指导与转衔服务，特教班应通过专业课程提升学生就业适应能力（Shanghai Municipal Education Commission，2024）。上海《促进残疾人就业三年行动方案（2025—2027）》进一步要求对残疾毕业生毕业五年内就业状况进行动态追踪，凸显全周期转衔服务的现实需求（Shanghai Municipal People's Government，2025）。</w:t>
      </w:r>
    </w:p>
    <w:p>
      <w:pPr>
        <w:ind w:firstLine="720"/>
      </w:pPr>
      <w:r>
        <w:rPr>
          <w:rFonts w:ascii="Times New Roman" w:hAnsi="Times New Roman" w:eastAsia="宋体"/>
          <w:b w:val="0"/>
          <w:sz w:val="24"/>
        </w:rPr>
        <w:t>在普通职业教育层面，上海《十五五教育发展规划（2026—2030）》将产教融合、技术技能人才培养与在职培训改革列为优先事项，标志着主流职教通道的持续拓展，特殊职业教育可据此对标（Shanghai Municipal Government，2026a；Shanghai Municipal Education Commission，2026）。市人社部门进一步推出"技能提升年"行动方案，涵盖人工智能应用推广、养老与家政培训，并设常规资格体系之外的特殊职业能力试点通道（Shanghai Municipal Human Resources and Social Security Bureau，2026b）。这些宏观政策为奉贤特殊需要群体的职教项目对接更广劳动力市场能力提供了标准环境，但它们不能替代工作教练、庇护安置等残障专属转衔支持。</w:t>
      </w:r>
    </w:p>
    <w:p>
      <w:pPr>
        <w:ind w:firstLine="720"/>
      </w:pPr>
      <w:r>
        <w:rPr>
          <w:rFonts w:ascii="Times New Roman" w:hAnsi="Times New Roman" w:eastAsia="宋体"/>
          <w:b w:val="0"/>
          <w:sz w:val="24"/>
        </w:rPr>
        <w:t>上海的制度模式呈现"市级顶层设计 + 区级具体实施 + 校本 IEP + 以实习为导向的校企对接"的特征。其优势在于入学机会有保障、课程实施标准化；其结构性弱点是企业实习开发高度依赖学校自发拓展，普通市场化企业接收智力、孤独症与脑瘫障碍学生的意愿偏低（Yang，2021）。这与国内各地特殊职业教育的普遍困境相吻合：政策文件虽有，但教育、残联与市场企业之间制度化的跨部门协作尚未充分落地（Zhang 等，2023；Shen，2019）。从多中心治理理论看，这并非单纯的"缺陷"待修补——把权威集中于教育部门带来的是统一标准与可靠入学，但位于教育系统之外的就业服务（残联、民政、劳动力市场）与学校之间的耦合就较弱。因此，缺少第三方工作教练是学校主导型配置的内生结果，而非偶然遗漏。</w:t>
      </w:r>
    </w:p>
    <w:p>
      <w:pPr>
        <w:ind w:firstLine="720"/>
      </w:pPr>
      <w:r>
        <w:rPr>
          <w:rFonts w:ascii="Times New Roman" w:hAnsi="Times New Roman" w:eastAsia="宋体"/>
          <w:b w:val="0"/>
          <w:sz w:val="24"/>
        </w:rPr>
        <w:t>面向企业雇佣残疾人的激励机制在上海同时运作于国家与上海市两个层面。依国家《残疾人就业条例》，用人单位须达到省级规定的雇佣比例，未达标者缴纳残疾人就业保障金（残保金），形成"软义务"而非惩罚性配额。税收优惠包括：增值税按每人每月不超过当地最低工资 4 倍限额即征即退；支付给残疾职工的工资在据实扣除基础上再按 100% 加计扣除；符合条件的用人单位可减征或免征城镇土地使用税（Ministry of Finance 等，2015；Shanghai Municipal Finance Bureau 等，2020；Ministry of Finance，2023）。这些措施降低了吸纳持证残疾人的成本，却不直接覆盖尚未取得残疾证的特殊教育学生，后者仍须依赖一般实习与工作教练安排。由此，激励体系内部划出一道关键边界：财政优惠只惠及残障身份获得正式认可者。未持有残疾证的特教班学生，即使支持需求与持证者相同，也被排除在残保金、增值税退税与工资加计扣除框架之外，形成现有上海就业政策文献尚未充分讨论的"双层激励格局"。</w:t>
      </w:r>
    </w:p>
    <w:p>
      <w:pPr>
        <w:spacing w:before="160" w:after="80"/>
      </w:pPr>
      <w:r>
        <w:rPr>
          <w:rFonts w:ascii="Times New Roman" w:hAnsi="Times New Roman" w:eastAsia="宋体"/>
          <w:b/>
          <w:sz w:val="24"/>
        </w:rPr>
        <w:t>2.2　吉隆坡：多部门分割式治理与面向企业的激励机制</w:t>
      </w:r>
    </w:p>
    <w:p>
      <w:pPr>
        <w:ind w:firstLine="720"/>
      </w:pPr>
      <w:r>
        <w:rPr>
          <w:rFonts w:ascii="Times New Roman" w:hAnsi="Times New Roman" w:eastAsia="宋体"/>
          <w:b w:val="0"/>
          <w:sz w:val="24"/>
        </w:rPr>
        <w:t>在马来西亚联邦层面，教育部主管面向学习障碍学生的 SMPKV（Sekolah Menengah Pendidikan Khas Vokasional）；社会福利局（JKM，Jabatan Kebajikan Masyarakat）通过全国工作教练网络、各区社会福利办公室、PLPP 与 PPDK 服务网点，提供职业评估与持续就业支持（Jabatan Kebajikan Masyarakat，n.d.）；妇女家庭与社区发展部（KPWKM）管理 Bengkel Daya 等庇护工场；本地 NGO 与企业基金会则为孤独症与发育障碍青年提供职前准备。这些服务并非由统一的"吉隆坡特殊教育局"运行，而是按服务对象与服务阶段分割（Dai 等，2023；Yusop，2024）。多部门分割是马来西亚职教—福利治理的界定性特征，而缺乏跨部门协调机制又容易在服务环节产生断裂（Fan，2026；Manaf 等，2019）。</w:t>
      </w:r>
    </w:p>
    <w:p>
      <w:pPr>
        <w:ind w:firstLine="720"/>
      </w:pPr>
      <w:r>
        <w:rPr>
          <w:rFonts w:ascii="Times New Roman" w:hAnsi="Times New Roman" w:eastAsia="宋体"/>
          <w:b w:val="0"/>
          <w:sz w:val="24"/>
        </w:rPr>
        <w:t>因此，这种多部门配置必须放在马来西亚 TVET 更宏观的结构性约束中理解。该体系以学校为主，教师普遍缺乏行业经验，多套证书与质量保障制度并行运作，缺乏单一主体统筹整体 TVET 体系，特殊需要与少数群体学生的入学渠道依然有限（Mustapha，2017）；与此同时，培训机构管理、课程解读、实体设施、财力资源以及毕业生与产业需求对接方面均被识别出核心实施难题，DSD 与 MQA 在第十二大马计划下分担监管职责（Ismail 与 Zainal Abiddin，2014；Jamaludin 等，2023）。这些结构特征解释了为何特殊职业教育不能被理解为自成一体的学校职能——其成效取决于整个 TVET 治理架构的连贯性。</w:t>
      </w:r>
    </w:p>
    <w:p>
      <w:pPr>
        <w:ind w:firstLine="720"/>
      </w:pPr>
      <w:r>
        <w:rPr>
          <w:rFonts w:ascii="Times New Roman" w:hAnsi="Times New Roman" w:eastAsia="宋体"/>
          <w:b w:val="0"/>
          <w:sz w:val="24"/>
        </w:rPr>
        <w:t>马来西亚教育部（2017）年度蓝图报告记录，全国共有四所 SMPKV 校区，位于莎阿南、关丹、Indahpura 与 Merbok，共开设 25 个 SKM（Sijil Kemahiran Malaysia，马来西亚技能证书）一至三级项目；2017 年高中段注册学生 785 人，218 名考生参加 JPK 官方技能评估（Malaysia Ministry of Education，2017）。特殊职业教育被正式嵌入国家 TVET 证书框架。四所校区中，SMPKV 莎阿南位于巴生谷通勤半径内，是都会区被引用最多的研究样本。</w:t>
      </w:r>
    </w:p>
    <w:p>
      <w:pPr>
        <w:ind w:firstLine="720"/>
      </w:pPr>
      <w:r>
        <w:rPr>
          <w:rFonts w:ascii="Times New Roman" w:hAnsi="Times New Roman" w:eastAsia="宋体"/>
          <w:b w:val="0"/>
          <w:sz w:val="24"/>
        </w:rPr>
        <w:t>JKM 工作教练项目面向所有正式登记的残障人士（OKU，Orang Kurang Upaya），核心职能包括：个案评估、工作环境评估、岗位匹配、高强度现场支持、建立员工与同事之间的自然支持关系以及长期跟进。雇主可通过工作教练网络申请这一公共服务，获得每小时 15 林吉特的补贴，每名残疾员工安置最多 60 小时、上限 900 林吉特（Yusop，2024；Jabatan Kebajikan Masyarakat，n.d.），由此将毕业后外部就业支持制度化。然而既有研究指出其实务局限：持证工作教练数量不足、中小企业认知度低、任务分析专业能力参差、长期匹配效果偏弱（Matthew，2024；Penang Institute，n.d.）。由外部主体运营的支持性就业代表了成熟的国际转衔服务模式（Xu 与 Su，2016）。</w:t>
      </w:r>
    </w:p>
    <w:p>
      <w:pPr>
        <w:ind w:firstLine="720"/>
      </w:pPr>
      <w:r>
        <w:rPr>
          <w:rFonts w:ascii="Times New Roman" w:hAnsi="Times New Roman" w:eastAsia="宋体"/>
          <w:b w:val="0"/>
          <w:sz w:val="24"/>
        </w:rPr>
        <w:t>在企业激励层面，马来西亚不对私营企业设定强制雇佣配额。《2008 年残障人士法》（第 685 号法令）确立反歧视、机会平等与合理便利义务，但未规定企业必须雇佣的残障人员固定比例（Malaysia，2008）。经济激励主要通过 JKM 服务——PLPP（Program Latihan Sangkutan Pekerjaan）、PPDK 培训中心与工作教练安置支持——来降低雇主招聘与入职风险，而非大规模税收返还（Jabatan Kebajikan Masyarakat，n.d.）。与上海相比，马来西亚雇主雇佣残障人士的税收减免措施在官方指引中不如上海明确，有关雇主专属扣除的说法应以马来西亚内陆税收局（LHDN/IRBM）现行规定为准（Lembaga Hasil Dalam Negeri Malaysia，n.d.）。两地的对照颇具启发：马来西亚依靠服务提供与法律义务，上海则将法律义务与财政工具相结合。但两种方式都未完全解决未持正式残疾证的特殊教育学生所面临"身份落差"问题。</w:t>
      </w:r>
    </w:p>
    <w:p>
      <w:pPr>
        <w:spacing w:before="240" w:after="120"/>
      </w:pPr>
      <w:r>
        <w:rPr>
          <w:rFonts w:ascii="Times New Roman" w:hAnsi="Times New Roman" w:eastAsia="宋体"/>
          <w:b/>
          <w:sz w:val="28"/>
        </w:rPr>
        <w:t>3　课程、培养路径与技能证书</w:t>
      </w:r>
    </w:p>
    <w:p>
      <w:pPr>
        <w:spacing w:before="160" w:after="80"/>
      </w:pPr>
      <w:r>
        <w:rPr>
          <w:rFonts w:ascii="Times New Roman" w:hAnsi="Times New Roman" w:eastAsia="宋体"/>
          <w:b/>
          <w:sz w:val="24"/>
        </w:rPr>
        <w:t>3.1　上海奉贤中专特教班：四年烹饪导向训练与校内—校外双层实践</w:t>
      </w:r>
    </w:p>
    <w:p>
      <w:pPr>
        <w:ind w:firstLine="720"/>
      </w:pPr>
      <w:r>
        <w:rPr>
          <w:rFonts w:ascii="Times New Roman" w:hAnsi="Times New Roman" w:eastAsia="宋体"/>
          <w:b w:val="0"/>
          <w:sz w:val="24"/>
        </w:rPr>
        <w:t>奉贤区于 2017 年 9 月在上海工商技术学校开设首个特殊职教班，2020 年 1 月整体迁入上海奉贤中专并正式成为其特教班，开设四年制"中餐烹饪与营养"专业，2021 年在校生 53 人（Eastday Education，2021）。其外部课程框架严格遵循市级《上海市特殊中等职业教育学校（班）课程方案（试行）》：公共基础课程含职业道德、法律素养与职业规划；专业课程以中式烹饪为核心，辅以中西式面点、家政服务、人际沟通与保洁技能模块；康复与个别化支持模块用于补偿功能缺陷、提升自理与社会适应能力（Shanghai Municipal Education Commission，2018；Fengxian Secondary Vocational School，2026a）。</w:t>
      </w:r>
    </w:p>
    <w:p>
      <w:pPr>
        <w:ind w:firstLine="720"/>
      </w:pPr>
      <w:r>
        <w:rPr>
          <w:rFonts w:ascii="Times New Roman" w:hAnsi="Times New Roman" w:eastAsia="宋体"/>
          <w:b w:val="0"/>
          <w:sz w:val="24"/>
        </w:rPr>
        <w:t>此处有必要作概念澄清。在上海语境中，IEP（个别化教育计划）主要作为课堂康复规划工具，用以设定学校环境中的功能补偿、自理与社会适应目标，它不同于可称为"职业转衔型 IEP"的文件——后者应明确工作任务分析、工作场所合理便利、安置后支持安排与留职检查节点。后者的缺位正是奉贤模式的核心制度痛点。同理，证书图景也需区分：文凭（如四年制"中餐烹饪与营养"专业）是完成整个课程的凭证；微证书（micro-credential）是短周期、模块化的能力证明（如"立交桥项目"模块）；SKM 则是通过马来西亚 JPK 框架颁发的国家职业技能证书。若将三者混同，就会掩盖各自在劳动力市场中被认可程度的差异。</w:t>
      </w:r>
    </w:p>
    <w:p>
      <w:pPr>
        <w:ind w:firstLine="720"/>
      </w:pPr>
      <w:r>
        <w:rPr>
          <w:rFonts w:ascii="Times New Roman" w:hAnsi="Times New Roman" w:eastAsia="宋体"/>
          <w:b w:val="0"/>
          <w:sz w:val="24"/>
        </w:rPr>
        <w:t>其实践教学体系采用三级设计。第一级：校内专业技能训练。专用烹饪实验室开展中餐、西点、点心等实操；2026 年 5 月，奉贤中专在"新苑小舍"咖啡实训基地为惠敏学校来访师生举办土豆饼、牛奶脆皮杯制作展示活动（Fengxian Secondary Vocational School，2026b）。第二级：校内综合岗位认知实践。"新苑小舍"校内咖啡基地约于 2021 年投入运营，特教学生与普通酒店专业学生混合编班，练习咖啡冲泡、顾客服务与职场认知，部分毕业生此后曾在校外商业咖啡店担任暑期兼职（Fengxian District Government，2023）。第三级："立交桥项目"补充性单科课程。2026 年春季学期，应长宁、浦东、奉贤、徐汇各区特教机构的个别化需求，面向在读与已毕业特殊需要学生开设家政保洁实操、沟通礼仪、家政管理、中西式面点、食品营养与食品卫生等模块化短课程（Fengxian Secondary Vocational School，2026a）。</w:t>
      </w:r>
    </w:p>
    <w:p>
      <w:pPr>
        <w:ind w:firstLine="720"/>
      </w:pPr>
      <w:r>
        <w:rPr>
          <w:rFonts w:ascii="Times New Roman" w:hAnsi="Times New Roman" w:eastAsia="宋体"/>
          <w:b w:val="0"/>
          <w:sz w:val="24"/>
        </w:rPr>
        <w:t>奉贤模式的不足同样明显。其一，文凭层面的正式专业高度集中于中式烹饪；"立交桥项目"虽扩大了技能类别，但相较 SMPKV 的多工种设置，技能类型覆盖面仍相对狭窄。其二，尽管市级课程方案规定必须开展实习，但全市范围的实地调研一致反映智力障碍、孤独症与脑瘫学生难以找到企业实习岗位，岗位集中、任务重复，并依赖资金补贴维持实习的现象普遍存在（Yang，2021）。其三，特教学生的就业力须以雇主看重的"工作准备度"来评估，而非仅看是否掌握职业任务。一项在马来西亚特殊教育职业学校发展的概念框架将沟通、适应与自我倡导列为基础能力，并强调在真实环境中的结构化工作经验、适当的合理便利与辅助技术，以及教育者、雇主与政策制定者之间的协作（Mastam 与 Zaharudin，2024）。</w:t>
      </w:r>
    </w:p>
    <w:p>
      <w:pPr>
        <w:ind w:firstLine="720"/>
      </w:pPr>
      <w:r>
        <w:rPr>
          <w:rFonts w:ascii="Times New Roman" w:hAnsi="Times New Roman" w:eastAsia="宋体"/>
          <w:b w:val="0"/>
          <w:sz w:val="24"/>
        </w:rPr>
        <w:t>一项针对 UPSI 与 USM 共 31 名特殊教育学生的试点研究发现，自评工作能力（M=3.71）与技能—岗位匹配度感知（M=4.33）均较高，作者据此认为应以"能否胜任"与"岗位匹配"来指导学习障碍者的教学（Othman 等，2024）。综合来看，这些研究提示 SKM 证书应被视为一种证书结果，而非工作准备度发展或系统化人—岗匹配的替代品。对奉贤的启示是：扩充微证书选项能解决技能广度问题，却无法单独解决匹配问题。</w:t>
      </w:r>
    </w:p>
    <w:p>
      <w:pPr>
        <w:spacing w:before="160" w:after="80"/>
      </w:pPr>
      <w:r>
        <w:rPr>
          <w:rFonts w:ascii="Times New Roman" w:hAnsi="Times New Roman" w:eastAsia="宋体"/>
          <w:b/>
          <w:sz w:val="24"/>
        </w:rPr>
        <w:t>3.2　吉隆坡都会区：SMPKV 国家技能证书体系与多机构分流路径</w:t>
      </w:r>
    </w:p>
    <w:p>
      <w:pPr>
        <w:ind w:firstLine="720"/>
      </w:pPr>
      <w:r>
        <w:rPr>
          <w:rFonts w:ascii="Times New Roman" w:hAnsi="Times New Roman" w:eastAsia="宋体"/>
          <w:b w:val="0"/>
          <w:sz w:val="24"/>
        </w:rPr>
        <w:t>SMPKV 莎阿南位于雪兰莪州莎阿南市、巴生谷通勤圈内，最初面向听障学习者，后招生范围扩展至学习障碍学生。公开访校资料将其列为 JPK 认可的评估中心，开设女装缝纫、食品加工、美发、空调安装与维修、焊接、建筑施工、家具制作、电工、手绘蜡染与桌面出版等工种（WALS，2022；International Journal of Creative Writing and English Literature，2021）。据 Malaysia Ministry of Education（2017），全国 SMPKV 共开设 25 个 SKM 一至三级课程，莎阿南的具体课程等级依 JPK 证书标准逐年调整。其培养逻辑为：中职阶段 → 遵循 JPK 职业技能标准 → 取得 SKM 证书 → 进入公开市场就业或继续 TVET 学习。相较奉贤"烹饪文凭 + 校内咖啡基地"的模式，SMPKV 并行开设多种工业与服务业工种，证书体系与外部劳动力市场需求联系紧密。马来西亚的双资格框架 TVET 体系为这一证书驱动的特殊职教路径提供了制度基础（Dai 等，2023）。</w:t>
      </w:r>
    </w:p>
    <w:p>
      <w:pPr>
        <w:ind w:firstLine="720"/>
      </w:pPr>
      <w:r>
        <w:rPr>
          <w:rFonts w:ascii="Times New Roman" w:hAnsi="Times New Roman" w:eastAsia="宋体"/>
          <w:b w:val="0"/>
          <w:sz w:val="24"/>
        </w:rPr>
        <w:t>PPKI（特殊教育融合计划）嵌入普通中学，可通过基础职教课程、微证书转入职教轨道，或转入 Kolej Vokasional 修读 SKM 路径。该路径适用于具备基本读写与自理能力的轻中度障碍学生，对重度智力障碍或需长期行为干预者适用性较低。目前尚缺经核实的 2026 年吉隆坡—雪兰莪 PPKI 微证书试点实证数据，故不作覆盖率推断。</w:t>
      </w:r>
    </w:p>
    <w:p>
      <w:pPr>
        <w:ind w:firstLine="720"/>
      </w:pPr>
      <w:r>
        <w:rPr>
          <w:rFonts w:ascii="Times New Roman" w:hAnsi="Times New Roman" w:eastAsia="宋体"/>
          <w:b w:val="0"/>
          <w:sz w:val="24"/>
        </w:rPr>
        <w:t>Wisma Harapan Brickfields 位于吉隆坡联邦直辖区内，面向 18—25 岁及以上的孤独症、唐氏综合征与学习障碍青年（MIND/SAMH，n.d.-a；Star/MIND，2018），提供生活技能训练、一般手工艺制作、缝纫、岗前准备、岗位安置协助与行为管理支持。它不以颁发国家级 SKM 文凭为主，核心定位是衔接特殊学校毕业与就业转衔；在通过工作教练与合作企业资源把服务对象对接到公开市场或过渡性岗位之前，先为孤独症与多重发育障碍群体开展个别化职业—行为训练。</w:t>
      </w:r>
    </w:p>
    <w:p>
      <w:pPr>
        <w:ind w:firstLine="720"/>
      </w:pPr>
      <w:r>
        <w:rPr>
          <w:rFonts w:ascii="Times New Roman" w:hAnsi="Times New Roman" w:eastAsia="宋体"/>
          <w:b w:val="0"/>
          <w:sz w:val="24"/>
        </w:rPr>
        <w:t>Bengkel Daya Klang（隶属 KPWKM—JKM）面向 18—45 岁、含中度学习障碍与肢体障碍的登记 OKU，作业单元包括缝纫刺绣、面包糕点烘焙、洗衣、零售与餐饮，被界定为无法直接在开放劳动力市场参与竞争的残障人士提供庇护式技能发展与过渡性就业场所（Jabatan Kebajikan Masyarakat，n.d.；Bernama，2024）。2024 年 KPWKM 宣布与 Gardenia KL 合作提升烘焙项目产能，显示庇护工场可借助企业技术资源改善产品质量并扩大过渡性岗位配额（Bernama，2024）。其关键局限在于：庇护工场内部的生产性参与不能被等同于公开市场竞争性就业的留职结果。比较研究反复提醒，不可把庇护工场出勤统计与竞争性就业结果指标混为一谈（Xu 与 Su，2016；Matthew，2024）。本文全程坚持区分岗位影子体验（短期观摩）、实习（结构化、有督导的工作经验）、庇护就业（隔离环境中的工作）与竞争性公开市场就业（普通条件下的有薪工作）。</w:t>
      </w:r>
    </w:p>
    <w:p>
      <w:pPr>
        <w:ind w:firstLine="720"/>
      </w:pPr>
      <w:r>
        <w:rPr>
          <w:rFonts w:ascii="Times New Roman" w:hAnsi="Times New Roman" w:eastAsia="宋体"/>
          <w:b w:val="0"/>
          <w:sz w:val="24"/>
        </w:rPr>
        <w:t>PLPP Bangi 为 18—40 岁成年肢体障碍人士提供康复与技能训练，项目涵盖 Office Management SKM 二级、电气安装、假肢矫形器制作、金属与轮椅制造、美术与蜡染工艺。JKM 将 PLPP Bangi 列为正式工作教练服务提供点（Jabatan Kebajikan Masyarakat，n.d.；Borneo Post，2011）。它补充 SMPKV 面向肢体障碍群体的供给，包含假肢与电气安装等技术含量较高的工种；其主要服务对象不含孤独症与智力障碍群体，因此不宜与奉贤烹饪方向特教班作一一对应式比较。</w:t>
      </w:r>
    </w:p>
    <w:p>
      <w:pPr>
        <w:spacing w:before="240" w:after="120"/>
      </w:pPr>
      <w:r>
        <w:rPr>
          <w:rFonts w:ascii="Times New Roman" w:hAnsi="Times New Roman" w:eastAsia="宋体"/>
          <w:b/>
          <w:sz w:val="28"/>
        </w:rPr>
        <w:t>4　奉贤校外实习资源的评估</w:t>
      </w:r>
    </w:p>
    <w:p>
      <w:pPr>
        <w:ind w:firstLine="720"/>
      </w:pPr>
      <w:r>
        <w:rPr>
          <w:rFonts w:ascii="Times New Roman" w:hAnsi="Times New Roman" w:eastAsia="宋体"/>
          <w:b w:val="0"/>
          <w:sz w:val="24"/>
        </w:rPr>
        <w:t>奉贤的校外实习资源不能简单贴上"充足"或"不足"的标签。综合 2021—2026 年学校、区政府与市级相关政策材料，其真实状况可概括为：校内岗位认知基地运行稳定；区级岗位影子体验点数量扩张；跨机构公益补充实践平台初具规模；但面向智力障碍、孤独症与脑瘫学生的真实商业企业实习岗位，结构性瓶颈依然存在（Fengxian District Government，2023）。实习基地建设是中国特殊职业教育发展的普遍性瓶颈，实践基地数量本身并不自动带来高质量转衔结果（Li，2023；Zhang 等，2023）。</w:t>
      </w:r>
    </w:p>
    <w:p>
      <w:pPr>
        <w:ind w:firstLine="720"/>
      </w:pPr>
      <w:r>
        <w:rPr>
          <w:rFonts w:ascii="Times New Roman" w:hAnsi="Times New Roman" w:eastAsia="宋体"/>
          <w:b w:val="0"/>
          <w:sz w:val="24"/>
        </w:rPr>
        <w:t>校内岗位认知基地供给稳定。2021 年 12 月，"新苑小舍"实训基地在校内建成，将真实工作任务转化为课程内嵌的技能实践活动，提供多情境的"前社会融入"训练（Fengxian Secondary Vocational School，2021）。其优势在于环境安全、有教师持续陪伴、IEP 数据可连续积累；不足则在于与真实商业门店存在差距——客流强度、轮班节奏、正式薪资管理机制与真实同事互动情境在校内均被简化。</w:t>
      </w:r>
    </w:p>
    <w:p>
      <w:pPr>
        <w:ind w:firstLine="720"/>
      </w:pPr>
      <w:r>
        <w:rPr>
          <w:rFonts w:ascii="Times New Roman" w:hAnsi="Times New Roman" w:eastAsia="宋体"/>
          <w:b w:val="0"/>
          <w:sz w:val="24"/>
        </w:rPr>
        <w:t>区级校外岗位影子体验点总量持续增加，但岗位质量差异很大。2026 年 5 月，三年级特教学生在喜翻农业、宅咖洗车、贤创慈善超市与一心宠体验中心完成为期一周的集体岗位影子体验轮转，按个人兴趣与能力分组，接受涵盖农务、洗车、慈善零售与宠物体验服务岗位的企业导师培训（Shanghai Vocational Education Online，2026）；同月，奉贤慈善超市影子体验项目涉及衣物分拣、货架陈列与基础咖啡制作等职责（Xianchuang Public Welfare Service Center, Fengxian District，2026）。这些活动宜被理解为岗位影子体验——短时、观摩性、低强度，而非包含持续任务表现与薪酬关系的完整实习。这一区分对结果评估至关重要：影子体验衡量的是"接触"，实习衡量的是"融入"。</w:t>
      </w:r>
    </w:p>
    <w:p>
      <w:pPr>
        <w:ind w:firstLine="720"/>
      </w:pPr>
      <w:r>
        <w:rPr>
          <w:rFonts w:ascii="Times New Roman" w:hAnsi="Times New Roman" w:eastAsia="宋体"/>
          <w:b w:val="0"/>
          <w:sz w:val="24"/>
        </w:rPr>
        <w:t>然而，在评估这些资源能否为所有特教学生提供高质量转衔支持时，仍存在三项结构性约束。其一，部分实践岗位过于简单、社会互动负荷低。媒体实地调查记录下翻土、套洗衣袋等任务，技术简单但客户接触机会极少，对能力较高的特殊需要学生而言，职场挑战不足（Tencent News，2024；China Youth Online，2025）。其二，企业接收规模与障碍群体特征不匹配。市级特殊职业教育政策要求实习至少半年，但智力障碍、孤独症与脑瘫学生通常需要集中、低风险、操作简化的岗位，普通商业企业很少能够批量提供（Yang，2021；Shanghai Municipal Women and Children Work Committee，2021）。其三，通向长期正式就业的转化路径依然狭窄。区政府公开材料显示约 30% 的特殊教育学生获得社会工作实践经历，而获得稳定的长期全职企业岗位者比例明显更低。根源在于企业接受意愿低、家庭在"工资收入 vs. 低保资格"之间权衡、递进式多步社会适应岗位短缺，以及短期实习难以转为长期岗位（Fengxian District Government，2023）。</w:t>
      </w:r>
    </w:p>
    <w:p>
      <w:pPr>
        <w:ind w:firstLine="720"/>
      </w:pPr>
      <w:r>
        <w:rPr>
          <w:rFonts w:ascii="Times New Roman" w:hAnsi="Times New Roman" w:eastAsia="宋体"/>
          <w:b w:val="0"/>
          <w:sz w:val="24"/>
        </w:rPr>
        <w:t>马来西亚的"学校—职场过渡"证据进一步照亮了这一供给侧约束。一项混合方法研究报告，尽管接受了教育与职业培训，马来西亚残障人士失业率仍居高不下，反映出根植于"缺乏专门转衔政策"的学校—职场过渡缺口；一项关于就业与失业者的比较识别出"工作相关技能"与"积极心理特质"是区分就业结果的关键变量（Abdullah，2012）。从课堂实践看，特殊教育融合计划中家长对轻中度学习障碍学生职业转衔的参与程度，郊区高于城市，其路径包括 IEP 执行、支持与鼓励、提供意见与需求、学生作品商品化以及毕业后求职；障碍则包括家长漠不关心、工作事务缠身以及把全部责任转嫁给教师（Abdullah 与 Ibrahim，2021）。因此，奉贤个案不应被解读为"实习点数量不足"的失败，而应被理解为更广泛系统性过渡缺口的国内对应物——它需要明确的转衔规划与家庭参与，而不能只依赖学校主导的岗位安置。</w:t>
      </w:r>
    </w:p>
    <w:p>
      <w:pPr>
        <w:ind w:firstLine="720"/>
      </w:pPr>
      <w:r>
        <w:rPr>
          <w:rFonts w:ascii="Times New Roman" w:hAnsi="Times New Roman" w:eastAsia="宋体"/>
          <w:b w:val="0"/>
          <w:sz w:val="24"/>
        </w:rPr>
        <w:t>制度层面存在政策与资金框架，但具体执行高度依赖区校多方协调。市级层面，2017 年特殊职业教育管理意见规定每区至少一处办学点，2018 年课程方案将见习实习学时量化，2024 年提案答复强调实习保障并援引区校企合作范例、修订课程框架以强化就业创业能力培养（Shanghai Municipal Education Commission 与 Shanghai Disabled Persons' Federation，2017；Shanghai Municipal Education Commission，2018、2024）。在地方层面，奉贤协调区教育局、残联、学校与企业伙伴，实施学费、杂费、餐宿减免，并辅以建能公益实践基地、AEG 专项资金与驻校社工联动机制（Eastday Education，2021）。公开文件未能完全核实直接向接收特教学生实习的企业发放专项财政补贴的情况。杨绮萍的政策建议主张建设区级专门实习基地、建立接收企业财政补贴机制并定制兼顾安全与个别化需求的岗位，这是奉贤未来发展可行的政策优化方向（Yang，2021）。</w:t>
      </w:r>
    </w:p>
    <w:p>
      <w:pPr>
        <w:ind w:firstLine="720"/>
      </w:pPr>
      <w:r>
        <w:rPr>
          <w:rFonts w:ascii="Times New Roman" w:hAnsi="Times New Roman" w:eastAsia="宋体"/>
          <w:b w:val="0"/>
          <w:sz w:val="24"/>
        </w:rPr>
        <w:t>综上，奉贤校外实习资源已实现实践场所类别的递进式多样化，具备数量扩张空间，但真实职场沉浸的深度不均。它不能被视作已具备成熟的公开市场就业基地体系。其核心机制性结论是：增加安置点数量本身并不能提高转入持续竞争性就业的学生比例，所缺的是个别化岗位匹配与安置后支持这一中间环节。</w:t>
      </w:r>
    </w:p>
    <w:p>
      <w:pPr>
        <w:spacing w:before="240" w:after="120"/>
      </w:pPr>
      <w:r>
        <w:rPr>
          <w:rFonts w:ascii="Times New Roman" w:hAnsi="Times New Roman" w:eastAsia="宋体"/>
          <w:b/>
          <w:sz w:val="28"/>
        </w:rPr>
        <w:t>5　工作教练与持续就业支持</w:t>
      </w:r>
    </w:p>
    <w:p>
      <w:pPr>
        <w:ind w:firstLine="720"/>
      </w:pPr>
      <w:r>
        <w:rPr>
          <w:rFonts w:ascii="Times New Roman" w:hAnsi="Times New Roman" w:eastAsia="宋体"/>
          <w:b w:val="0"/>
          <w:sz w:val="24"/>
        </w:rPr>
        <w:t>持续性的入职后就业支持是本文的核心比较维度。奉贤公开可查资料未记录制度化的第三方工作教练人员安排，咖啡店、家政与档案整理等校外实习主要由学校教师、企业门店经理与班主任督导，其支持逻辑为"学校教师主导、企业协调、家长监督"。优势在于教师持续了解学生的残障背景、IEP 记录与家庭情况；不足则在于缺乏专业的工作场所任务分析能力、缺少标准化的合理便利方案，以及缺乏正式的外部定期职场审查机制。国内研究指出，单纯依赖校内教师承担毕业后就业跟进存在内在能力边界：教师缺少系统的支持性就业训练，并被繁重的日常教学任务所束缚（Yin，2022；Zhang 等，2023）。</w:t>
      </w:r>
    </w:p>
    <w:p>
      <w:pPr>
        <w:ind w:firstLine="720"/>
      </w:pPr>
      <w:r>
        <w:rPr>
          <w:rFonts w:ascii="Times New Roman" w:hAnsi="Times New Roman" w:eastAsia="宋体"/>
          <w:b w:val="0"/>
          <w:sz w:val="24"/>
        </w:rPr>
        <w:t>马来西亚的 JKM 工作教练体系执行经典六步支持性就业流程：个案评估、工作环境评估、岗位匹配、高强度现场支持、自然支持系统建设、长期跟进（Yusop，2024；Asia-Pacific Development Center on Disability，n.d.）。以一例超市安置为例：工作教练先考察通勤安全与轮班制度约束，只安排日班；入职首周由企业 HR 开展全员入职培训，工作教练则把复杂口头指令拆解为单步示范引导；随后为主管与同事提供培训以建立自然支持关系，逐步降低现场在场强度，并保持电话联络与定期回访。该流程适用于学习障碍、孤独症与肢体障碍群体；JKM 财政补贴与工作教练网络降低了雇主成本。但限制因素仍在：全国持证教练数量有限、州级覆盖不均、雇主与社区认知不足（Yusop，2024；Penang Institute，n.d.）。即便有正式的工作教练制度，多机构治理碎片化也可能削弱最终服务成效（Fan，2026；Matthew，2024）。</w:t>
      </w:r>
    </w:p>
    <w:p>
      <w:pPr>
        <w:ind w:firstLine="720"/>
      </w:pPr>
      <w:r>
        <w:rPr>
          <w:rFonts w:ascii="Times New Roman" w:hAnsi="Times New Roman" w:eastAsia="宋体"/>
          <w:b w:val="0"/>
          <w:sz w:val="24"/>
        </w:rPr>
        <w:t>面向孤独症的专项支持还可借助企业学院与商场示范项目。Yayasan Gamuda Enabling Academy 为 21 岁以上孤独症成人开展评估，以三个月为周期进行软技能训练、完成企业匹配并提供入职后辅导；合作企业指派专属主管与伙伴。项目通过固定作业流程、安排短时休息与职场感官培训，缓解感官冲突与执行功能压力（Gamuda，n.d.）。1 Utama 的 AmazeWork 项目利用商场内多家租户企业为雇主，设置感官放松舱，并部署工作教练重组真实工作流程；三个月适应期后，按工作表现决定是否转为正式就业，但公开报道缺少经核实的 12 个月留职率统计（The Star，2026）。系统综述确认，孤独症职场结果显著受训练深度、感官合理便利、直接沟通方式、工作重塑以及主管—同事协作的影响（Parr 等，2026）。一次性的面试辅导若缺乏系统任务分析，无法改善长期留职。支持性就业理论强调动态的安置后调整，而非"一次性安置"决定留职成败（Xu 与 Su，2016）。</w:t>
      </w:r>
    </w:p>
    <w:p>
      <w:pPr>
        <w:ind w:firstLine="720"/>
      </w:pPr>
      <w:r>
        <w:rPr>
          <w:rFonts w:ascii="Times New Roman" w:hAnsi="Times New Roman" w:eastAsia="宋体"/>
          <w:b w:val="0"/>
          <w:sz w:val="24"/>
        </w:rPr>
        <w:t>当前服务对孤独症群体的专项局限，得到马来西亚中学后 TVET 研究的印证。教育部"到 2025 年特殊需要儿童融合教育入学率达到 75%"的目标面向 5—17 岁孤独症儿童，项目在 18 岁前终止，使 18—25 岁孤独症学习者缺少清晰的中学后 TVET 路径，形成单纯学术教育无法填补的缺口（Megat Khalid 等，2022）。这一发现直接限定了政策启示：可复制的闭环必须延伸至毕业后，为 18—25 岁孤独症学习者提供明确的中学后 TVET 通道，而非在中学毕业时终止支持。上海个案以另一种形式呈现同一缺口——四年制烹饪专业在毕业时结束，却无强制性的离校后就业追踪机制。</w:t>
      </w:r>
    </w:p>
    <w:p>
      <w:pPr>
        <w:spacing w:before="240" w:after="120"/>
      </w:pPr>
      <w:r>
        <w:rPr>
          <w:rFonts w:ascii="Times New Roman" w:hAnsi="Times New Roman" w:eastAsia="宋体"/>
          <w:b/>
          <w:sz w:val="28"/>
        </w:rPr>
        <w:t>6　就业结果、留职因素与数据局限</w:t>
      </w:r>
    </w:p>
    <w:p>
      <w:pPr>
        <w:ind w:firstLine="720"/>
      </w:pPr>
      <w:r>
        <w:rPr>
          <w:rFonts w:ascii="Times New Roman" w:hAnsi="Times New Roman" w:eastAsia="宋体"/>
          <w:b w:val="0"/>
          <w:sz w:val="24"/>
        </w:rPr>
        <w:t>就上海奉贤而言，公开来源材料显示约 30% 的特殊教育学生获得社会工作实践经历，而获得长期全职企业岗位的比例明显更低。影响因素包括家庭对职业能力的不安、收入与低保之间的权衡、递进式适应型社会岗位的短缺，以及过度机械化的实习削弱身份认同（Fengxian District Government，2023；Tencent News，2024）。全市特殊职业教育面临三重结构性约束：企业接收困难、集中实习组织障碍、特殊需要岗位经济回报偏低（Yang，2021）。因此，上海的结果评估应优先采用"实践覆盖率"指标，而非粗略的公开市场就业率。国内学者反复提醒，不宜过度依赖单一就业率指标评价特殊职业教育成效，应构建涵盖实践参与、证书获取与毕业后留职的多维指标体系（Li，2023；Zhang 等，2023；Shen，2019）。</w:t>
      </w:r>
    </w:p>
    <w:p>
      <w:pPr>
        <w:ind w:firstLine="720"/>
      </w:pPr>
      <w:r>
        <w:rPr>
          <w:rFonts w:ascii="Times New Roman" w:hAnsi="Times New Roman" w:eastAsia="宋体"/>
          <w:b w:val="0"/>
          <w:sz w:val="24"/>
        </w:rPr>
        <w:t>就吉隆坡都会区而言，SMPKV 可产出 SKM 证书获取统计，但各部门分散的数据库无法提供按专业与障碍类别拆分后的长期留职数据。JKM 工作教练 2012—2020 年合计统计称帮助 1,397 名残障人士在 770 家参与企业实现就业，但这些合计数据无法区分来自 SMPKV、Bengkel Daya、Wisma Harapan 或企业学院的受益者，也不含 6 个月或 12 个月留职率信息（Yusop，2024；Matthew，2024）。Bengkel Daya 发布的是工场生产产出指标与 Gardenia 合作进展，不等同于开放劳动力市场留职结果；PLPP Bangi 的项目目标提及部分毕业生在完成学业六个月内就业，但样本规模与年份代表性有限（Borneo Post，2011）。因此，吉隆坡的结果评估必须采用三层分列统计：SKM 或同等证书获取率、庇护工场参与率、公开竞争性就业留职率，三者绝不可混同（Matthew，2024；Xu 与 Su，2016）。</w:t>
      </w:r>
    </w:p>
    <w:p>
      <w:pPr>
        <w:ind w:firstLine="720"/>
      </w:pPr>
      <w:r>
        <w:rPr>
          <w:rFonts w:ascii="Times New Roman" w:hAnsi="Times New Roman" w:eastAsia="宋体"/>
          <w:b w:val="0"/>
          <w:sz w:val="24"/>
        </w:rPr>
        <w:t>必须明确指出，两地数据的不对称性使任何直接的数值比较都不成立。上海提供了实践参与比例，却没有正式的工作教练安置数量；吉隆坡提供了合计安置人数，却无法按来源机构、障碍类型或留职时长拆分。缺少可比较的分母，意味着断言某一城市"就业表现更好"属于范畴错误。本文因此比较的是机制，而非比率。这种比较在制度安排与政策逻辑层面有效，在劳动力市场结果层面无效。这一边界不是修辞限定，而是方法论结论。</w:t>
      </w:r>
    </w:p>
    <w:p>
      <w:pPr>
        <w:ind w:firstLine="720"/>
      </w:pPr>
      <w:r>
        <w:rPr>
          <w:rFonts w:ascii="Times New Roman" w:hAnsi="Times New Roman" w:eastAsia="宋体"/>
          <w:b w:val="0"/>
          <w:sz w:val="24"/>
        </w:rPr>
        <w:t>国际实证证据进一步澄清了这些跨区域共同困境。智力障碍群体的长期留职强烈受持续职场支持、合理便利措施、雇主参与程度与以人为本的职业规划所预测；仅把求职者安置出去而缺乏安置后跟进，几乎无法产生持续就业效果（Basquial，2026）。职场支持系统综述将主管态度、同事互动质量、工作教练响应及时性与企业培训质量识别为决定竞争性就业维持的核心环境变量（Carlson 等，2020；van der Meulen 等，2015）。综合两地实证证据：若无现场任务分析、独立的外部教练、正式的合理便利安排与专门的留职追踪数据库，无论国家背景如何，稳定的持续就业都难以实现。</w:t>
      </w:r>
    </w:p>
    <w:p>
      <w:pPr>
        <w:spacing w:before="240" w:after="120"/>
      </w:pPr>
      <w:r>
        <w:rPr>
          <w:rFonts w:ascii="Times New Roman" w:hAnsi="Times New Roman" w:eastAsia="宋体"/>
          <w:b/>
          <w:sz w:val="28"/>
        </w:rPr>
        <w:t>7　综合比较与模型总结</w:t>
      </w:r>
    </w:p>
    <w:p>
      <w:pPr>
        <w:spacing w:before="160" w:after="80"/>
      </w:pPr>
      <w:r>
        <w:rPr>
          <w:rFonts w:ascii="Times New Roman" w:hAnsi="Times New Roman" w:eastAsia="宋体"/>
          <w:b/>
          <w:sz w:val="24"/>
        </w:rPr>
        <w:t>7.1　制度模式与权衡取舍</w:t>
      </w:r>
    </w:p>
    <w:p>
      <w:pPr>
        <w:ind w:firstLine="720"/>
      </w:pPr>
      <w:r>
        <w:rPr>
          <w:rFonts w:ascii="Times New Roman" w:hAnsi="Times New Roman" w:eastAsia="宋体"/>
          <w:b w:val="0"/>
          <w:sz w:val="24"/>
        </w:rPr>
        <w:t>本文提出的比较阅读拒绝"上海统一但缺工作教练；吉隆坡有工作教练但碎片化"的二元模板，而是把每种配置视为一种治理权衡。当权威集中于教育部门，可预期的收益是标准化、入学公平与可靠的校内记录，相应的代价是校外服务——独立就业安置、工作场所合理便利、离校后跟进——制度化不足；反之，当福利、教育与 NGO 部门作为相对自治的中心运作，其优势是职能专业化与职业中介，代价恰恰是跨系统数据聚合困难。因此，下表呈现的是制度配置，而非优劣评分表。</w:t>
      </w:r>
    </w:p>
    <w:p>
      <w:pPr>
        <w:ind w:firstLine="720"/>
      </w:pPr>
      <w:r>
        <w:rPr>
          <w:rFonts w:ascii="Times New Roman" w:hAnsi="Times New Roman" w:eastAsia="宋体"/>
          <w:b w:val="0"/>
          <w:sz w:val="24"/>
        </w:rPr>
        <w:t>上海奉贤的制度模式建立在统一市级政策框架、标准化 IEP 实施、四年烹饪中心专业（辅以咖啡、面点、家政扩展模块）之上，其优势是教育公平保障与校本支持的连续性，相应局限是外部专业化就业服务与长期留职数据追踪能力发育不足。它为尚未建立多部门残障就业支持体系的地区提供了"学校主导型"参考（Li，2023；Zhang 等，2023），这一以学校为主导的治理也是中国大陆特殊职业教育的主流发展路径。</w:t>
      </w:r>
    </w:p>
    <w:p>
      <w:pPr>
        <w:ind w:firstLine="720"/>
      </w:pPr>
      <w:r>
        <w:rPr>
          <w:rFonts w:ascii="Times New Roman" w:hAnsi="Times New Roman" w:eastAsia="宋体"/>
          <w:b w:val="0"/>
          <w:sz w:val="24"/>
        </w:rPr>
        <w:t>吉隆坡都会区模式整合 SMPKV 多工种 SKM 证书、Wisma Harapan 面向孤独症与学习障碍青年的岗前准备、Bengkel Daya 庇护式生产场所、PLPP Bangi 肢体障碍技能训练，以及 JKM—工作教练驱动的公开市场持续支持。其优势体现在专业岗位匹配、工作场所合理便利与支持性就业专业化，相应局限是跨机构数据碎片化与结果透明度不足。它为已具备 TVET 与社会保障行政基础的地区提供了多部门协作基准（Fan，2026；Matthew，2024），其多机构碎片化的设置对许多东南亚联邦制情境具有代表性。</w:t>
      </w:r>
    </w:p>
    <w:p>
      <w:pPr>
        <w:ind w:firstLine="720"/>
      </w:pPr>
      <w:r>
        <w:rPr>
          <w:rFonts w:ascii="Times New Roman" w:hAnsi="Times New Roman" w:eastAsia="宋体"/>
          <w:b w:val="0"/>
          <w:sz w:val="24"/>
        </w:rPr>
        <w:t>两地共同的治理启示是：把企业激励嵌入转衔闭环，而非将其视为孤立的财政工具。上海可强化其按比例征收的残保金框架，把为持有或未持残疾证的特教学生提供结构化实习的企业纳入认可范围，并使增值税退税与工资加计扣除与经核实的安置后留职结果相挂钩。这同时需要防范道德风险的核验机制——否则企业可能仅为名义安置领取激励。吉隆坡可在其反歧视与 JKM 支持性就业基础之上，引入透明的企业激励指引，可借 HRD Corp 或 SLDN 培训安排实现，使雇佣残障人士带来可预期而非自由裁量的收益。两地都应按障碍类别分别报告雇主参与、合理便利成本与 12 个月留职情况，以可比的、结果导向的指标取代笼统的就业率。</w:t>
      </w:r>
    </w:p>
    <w:p>
      <w:pPr>
        <w:spacing w:before="160" w:after="80"/>
      </w:pPr>
      <w:r>
        <w:rPr>
          <w:rFonts w:ascii="Times New Roman" w:hAnsi="Times New Roman" w:eastAsia="宋体"/>
          <w:b/>
          <w:sz w:val="24"/>
        </w:rPr>
        <w:t>7.2　两城共同的系统性挑战</w:t>
      </w:r>
    </w:p>
    <w:p>
      <w:pPr>
        <w:ind w:firstLine="720"/>
      </w:pPr>
      <w:r>
        <w:rPr>
          <w:rFonts w:ascii="Times New Roman" w:hAnsi="Times New Roman" w:eastAsia="宋体"/>
          <w:b w:val="0"/>
          <w:sz w:val="24"/>
        </w:rPr>
        <w:t>除治理结构差异之外，上海与吉隆坡还共享一组值得同等分析权重的系统性挑战。第一，从庇护就业转向竞争性公开市场就业在两城均困难重重。上海的校内实践基地与吉隆坡的 Bengkel Daya 都提供了宝贵的中间环境，但都不能自动把参与转化为有薪竞争性就业。第二，"津贴收入 vs. 工资收入"的冲突在两城均出现：家庭在残障相关基本生活保障的丧失与正式就业的不确定收益之间权衡，这一计算压低了开放式就业岗位的接受度。第三，两地在 18—25 岁这一"正式特殊教育已结束、稳定就业尚未实现"的阶段，都存在面向孤独症与智力障碍学习者的服务缺口。第四，两城均未发布按障碍类别拆分的留职统计，因而无法判断现有项目是否平等地服务于孤独症、智力障碍与肢体障碍学习者。</w:t>
      </w:r>
    </w:p>
    <w:p>
      <w:pPr>
        <w:ind w:firstLine="720"/>
      </w:pPr>
      <w:r>
        <w:rPr>
          <w:rFonts w:ascii="Times New Roman" w:hAnsi="Times New Roman" w:eastAsia="宋体"/>
          <w:b w:val="0"/>
          <w:sz w:val="24"/>
        </w:rPr>
        <w:t>这些共同挑战支持如下结论：上海—吉隆坡比较不仅是对两种行政模式的对照，也是观察东亚与东南亚特殊职业教育转衔共同困境的一扇窗。这种趋同是实质性的，而非修辞性的——它关乎转衔序列的最后阶段，即从准备、安置走向持续、有薪、竞争性就业的阶段，两城在此阶段的投入产出表现均弱于前一阶段。以这四项挑战为起点的区域性议程，将比以"制度模板输出"为核心的议程更具成效。</w:t>
      </w:r>
    </w:p>
    <w:p>
      <w:pPr>
        <w:ind w:firstLine="720"/>
      </w:pPr>
      <w:r>
        <w:rPr>
          <w:rFonts w:ascii="Times New Roman" w:hAnsi="Times New Roman" w:eastAsia="宋体"/>
          <w:b w:val="0"/>
          <w:sz w:val="24"/>
        </w:rPr>
        <w:t>比较的启示可置于东南亚"职教走出去"这一更宏大的话语之中，但只宜简短。中国教育在东南亚的参与被描述为逐步走向成熟，新加坡、马来西亚、泰国、印度尼西亚与越南在职业、高等与课后教育方面存在清晰的市场缺口，催生了对竞争性教育资源的需求（Chen，2025）。"广州模式"在 RCEP 框架下公共交通产业技能输出的经验表明，可持续结果有赖于超越一次性设备出口，形成以协调的政策、学校、协会与企业为基础的"产业 + 服务"一体化方案，并辅以技术标准与课程认证（Fan 与 Li，2026）。移植到特殊职业教育转衔领域，这一逻辑意味着证书本身并不充分——持久就业需要同样一体化的链条：校本准备 → 真实企业实习 → 外部工作教练支持 → 留职追踪。这一论点仅作为背景性观察提出，而非中心论点，因为本文核心仍是双边比较。</w:t>
      </w:r>
    </w:p>
    <w:p>
      <w:pPr>
        <w:spacing w:before="240" w:after="120"/>
      </w:pPr>
      <w:r>
        <w:rPr>
          <w:rFonts w:ascii="Times New Roman" w:hAnsi="Times New Roman" w:eastAsia="宋体"/>
          <w:b/>
          <w:sz w:val="28"/>
        </w:rPr>
        <w:t>8　结论与政策启示</w:t>
      </w:r>
    </w:p>
    <w:p>
      <w:pPr>
        <w:spacing w:before="160" w:after="80"/>
      </w:pPr>
      <w:r>
        <w:rPr>
          <w:rFonts w:ascii="Times New Roman" w:hAnsi="Times New Roman" w:eastAsia="宋体"/>
          <w:b/>
          <w:sz w:val="24"/>
        </w:rPr>
        <w:t>8.1　结论</w:t>
      </w:r>
    </w:p>
    <w:p>
      <w:pPr>
        <w:ind w:firstLine="720"/>
      </w:pPr>
      <w:r>
        <w:rPr>
          <w:rFonts w:ascii="Times New Roman" w:hAnsi="Times New Roman" w:eastAsia="宋体"/>
          <w:b w:val="0"/>
          <w:sz w:val="24"/>
        </w:rPr>
        <w:t>上海与吉隆坡都会区在特殊职业教育—就业转衔方面采取了不同的制度组合。上海体系以区级特殊中职校、统一市级课程方案与丰富的校内实训为核心，在入学公平与 IEP 连续性方面表现良好，但缺少外部专业化就业服务与系统化的长期留职追踪机制。吉隆坡都会区以 SMPKV 技能证书、JKM—工作教练服务网络、庇护工场与 NGO 岗前准备为基础，在专业岗位匹配、工作场所合理便利与支持性就业专业化方面具备优势，同时受困于跨机构数据碎片化与结果透明度不足。</w:t>
      </w:r>
    </w:p>
    <w:p>
      <w:pPr>
        <w:ind w:firstLine="720"/>
      </w:pPr>
      <w:r>
        <w:rPr>
          <w:rFonts w:ascii="Times New Roman" w:hAnsi="Times New Roman" w:eastAsia="宋体"/>
          <w:b w:val="0"/>
          <w:sz w:val="24"/>
        </w:rPr>
        <w:t>两地在企业端激励方面也差异明显。上海将按比例缴费的残保金软义务与增值税即征即退、100% 工资加计扣除、城镇土地使用税减免相结合，构成降低吸纳持证残障人士成本的实质性财政组合；马来西亚则不对私营企业设定强制雇佣配额，《2008 年残障人士法》确立反歧视与合理便利义务，经济激励主要通过 JKM 培训与安置服务，而非大规模税收返还。两种方式都使未持残疾证的特教学生被排除在正式激励框架之外，只能依赖一般实习与工作教练安排。</w:t>
      </w:r>
    </w:p>
    <w:p>
      <w:pPr>
        <w:ind w:firstLine="720"/>
      </w:pPr>
      <w:r>
        <w:rPr>
          <w:rFonts w:ascii="Times New Roman" w:hAnsi="Times New Roman" w:eastAsia="宋体"/>
          <w:b w:val="0"/>
          <w:sz w:val="24"/>
        </w:rPr>
        <w:t>核心的理论结论是：这些差异并非随机，而是源自权威在各部门的分布方式——集中带来标准化却使外部就业服务发育不足，分散带来专业化却产生协调成本。两种模式均不宜被简单描述为"更好"，恰当的问题是：某一辖区愿意接受何种权衡，以及它能引入何种缺失功能，而不必连带着引入产生该功能所需的整套治理结构。</w:t>
      </w:r>
    </w:p>
    <w:p>
      <w:pPr>
        <w:spacing w:before="160" w:after="80"/>
      </w:pPr>
      <w:r>
        <w:rPr>
          <w:rFonts w:ascii="Times New Roman" w:hAnsi="Times New Roman" w:eastAsia="宋体"/>
          <w:b/>
          <w:sz w:val="24"/>
        </w:rPr>
        <w:t>8.2　政策启示</w:t>
      </w:r>
    </w:p>
    <w:p>
      <w:pPr>
        <w:ind w:firstLine="720"/>
      </w:pPr>
      <w:r>
        <w:rPr>
          <w:rFonts w:ascii="Times New Roman" w:hAnsi="Times New Roman" w:eastAsia="宋体"/>
          <w:b w:val="0"/>
          <w:sz w:val="24"/>
        </w:rPr>
        <w:t>对上海而言，优先事项不是照搬马来西亚的工作教练体系。JKM 模式根植于马来西亚联邦福利架构，在上海复制它须先解决资金来源、专业资质以及学校教师与外部教练之间的权责划分。更可行的起点是构建"混合职能"：保留学校对学生的了解，同时外购任务分析与工作场所合理便利的专业能力，成本由残联与接收企业共同分担。与此同时，IEP 应从课堂康复导向转向职业转衔导向，并设置毕业后 1、3、6、12 个月的明确追踪节点。</w:t>
      </w:r>
    </w:p>
    <w:p>
      <w:pPr>
        <w:ind w:firstLine="720"/>
      </w:pPr>
      <w:r>
        <w:rPr>
          <w:rFonts w:ascii="Times New Roman" w:hAnsi="Times New Roman" w:eastAsia="宋体"/>
          <w:b w:val="0"/>
          <w:sz w:val="24"/>
        </w:rPr>
        <w:t>对吉隆坡而言，优先事项是在不取消多中心治理所提供专业化的前提下，降低其协调成本。这意味着应在 JKM、SMPKV 与庇护工场运营方之间建立共享的最低数据协议，覆盖安置、障碍类型与留职时长。联邦结构使统一数据库成为政治与制度挑战，而非单纯技术问题；这意味着数据整合须作为跨部门协议加以协商，而非自上而下地强制推行。</w:t>
      </w:r>
    </w:p>
    <w:p>
      <w:pPr>
        <w:ind w:firstLine="720"/>
      </w:pPr>
      <w:r>
        <w:rPr>
          <w:rFonts w:ascii="Times New Roman" w:hAnsi="Times New Roman" w:eastAsia="宋体"/>
          <w:b w:val="0"/>
          <w:sz w:val="24"/>
        </w:rPr>
        <w:t>对其他东南亚城市而言，可迁移的是"序列"而非"制度"：先评估职业能力再训练，先提供真实工作经验再安置，在毕业前引入外部就业支持，在安置后评估留职。每一职能的具体制度载体应按本地治理能力选择。</w:t>
      </w:r>
    </w:p>
    <w:p>
      <w:pPr>
        <w:spacing w:before="160" w:after="80"/>
      </w:pPr>
      <w:r>
        <w:rPr>
          <w:rFonts w:ascii="Times New Roman" w:hAnsi="Times New Roman" w:eastAsia="宋体"/>
          <w:b/>
          <w:sz w:val="24"/>
        </w:rPr>
        <w:t>8.3　研究局限</w:t>
      </w:r>
    </w:p>
    <w:p>
      <w:pPr>
        <w:ind w:firstLine="720"/>
      </w:pPr>
      <w:r>
        <w:rPr>
          <w:rFonts w:ascii="Times New Roman" w:hAnsi="Times New Roman" w:eastAsia="宋体"/>
          <w:b w:val="0"/>
          <w:sz w:val="24"/>
        </w:rPr>
        <w:t>本研究完全依赖公开可得的二手资料——政府文件、机构网页、新闻报道与已发表学术文献，未包含来自学校、工作教练、雇主或毕业生的访谈、问卷或田野观察一手数据。因此，分析无法建立制度安排与就业结果之间的因果关系，也无法呈现参与者自身的视角。一手数据的缺失还意味着对日常实践的描述必然是推断性的，而非观察性的。</w:t>
      </w:r>
    </w:p>
    <w:p>
      <w:pPr>
        <w:ind w:firstLine="720"/>
      </w:pPr>
      <w:r>
        <w:rPr>
          <w:rFonts w:ascii="Times New Roman" w:hAnsi="Times New Roman" w:eastAsia="宋体"/>
          <w:b w:val="0"/>
          <w:sz w:val="24"/>
        </w:rPr>
        <w:t>两地数据的不对称是第二项局限。上海提供了实践参与比例，却没有正式的工作教练安置数量；吉隆坡提供了合计安置数据，却无法按来源机构、障碍类型或留职时长拆分。这些指标不可直接比较，本文因而有意避免作数值对比；未来有机会获取一手数据的研究应弥补这一缺口。</w:t>
      </w:r>
    </w:p>
    <w:p>
      <w:pPr>
        <w:ind w:firstLine="720"/>
      </w:pPr>
      <w:r>
        <w:rPr>
          <w:rFonts w:ascii="Times New Roman" w:hAnsi="Times New Roman" w:eastAsia="宋体"/>
          <w:b w:val="0"/>
          <w:sz w:val="24"/>
        </w:rPr>
        <w:t>第三项局限是样本范围。上海样本仅限一个区的一个特教班，不能代表整个上海市的体系；吉隆坡样本涵盖多类机构类型，但仅限联邦直辖区及其通勤腹地，不能代表马来西亚所有州属。因此，本文结论属于机制层面的命题，而非总体层面的估计。</w:t>
      </w:r>
    </w:p>
    <w:p>
      <w:pPr>
        <w:spacing w:before="160" w:after="80"/>
      </w:pPr>
      <w:r>
        <w:rPr>
          <w:rFonts w:ascii="Times New Roman" w:hAnsi="Times New Roman" w:eastAsia="宋体"/>
          <w:b/>
          <w:sz w:val="24"/>
        </w:rPr>
        <w:t>8.4　未来研究方向</w:t>
      </w:r>
    </w:p>
    <w:p>
      <w:pPr>
        <w:ind w:firstLine="720"/>
      </w:pPr>
      <w:r>
        <w:rPr>
          <w:rFonts w:ascii="Times New Roman" w:hAnsi="Times New Roman" w:eastAsia="宋体"/>
          <w:b w:val="0"/>
          <w:sz w:val="24"/>
        </w:rPr>
        <w:t>基于上述局限，有四个研究方向自然浮现。第一，对两地学校教师、工作教练、残疾毕业生与雇主开展质性访谈研究，以获取转衔过程的第一手叙述，检验本文提出的机制性命题；即便采用小规模的立意样本，也能显著增强证据基础。</w:t>
      </w:r>
    </w:p>
    <w:p>
      <w:pPr>
        <w:ind w:firstLine="720"/>
      </w:pPr>
      <w:r>
        <w:rPr>
          <w:rFonts w:ascii="Times New Roman" w:hAnsi="Times New Roman" w:eastAsia="宋体"/>
          <w:b w:val="0"/>
          <w:sz w:val="24"/>
        </w:rPr>
        <w:t>第二，构建按障碍类型——智力障碍、孤独症、肢体障碍——拆分的就业留职指标，而非把特殊教育学生当作同质类别。现有结果统计将这些群体合并，因而无法揭示项目是否平等地服务于他们。</w:t>
      </w:r>
    </w:p>
    <w:p>
      <w:pPr>
        <w:ind w:firstLine="720"/>
      </w:pPr>
      <w:r>
        <w:rPr>
          <w:rFonts w:ascii="Times New Roman" w:hAnsi="Times New Roman" w:eastAsia="宋体"/>
          <w:b w:val="0"/>
          <w:sz w:val="24"/>
        </w:rPr>
        <w:t>第三，研究工作教练职能在不同治理体系中的本土化路径。核心问题是上海如何依托现有残联基础设施构建外部就业支持，而非复制马来西亚的 JKM 结构。</w:t>
      </w:r>
    </w:p>
    <w:p>
      <w:pPr>
        <w:ind w:firstLine="720"/>
      </w:pPr>
      <w:r>
        <w:rPr>
          <w:rFonts w:ascii="Times New Roman" w:hAnsi="Times New Roman" w:eastAsia="宋体"/>
          <w:b w:val="0"/>
          <w:sz w:val="24"/>
        </w:rPr>
        <w:t>第四，研究家庭福利安排——尤其是残障津贴与工资收入之间的相互作用——如何影响残障青年的就业决策。这是两城的共同因素，却在比较文献中尚未得到充分考察。</w:t>
      </w:r>
    </w:p>
    <w:p>
      <w:r>
        <w:br w:type="page"/>
      </w:r>
    </w:p>
    <w:p>
      <w:pPr>
        <w:spacing w:before="240" w:after="120"/>
      </w:pPr>
      <w:r>
        <w:rPr>
          <w:rFonts w:ascii="Times New Roman" w:hAnsi="Times New Roman" w:eastAsia="宋体"/>
          <w:b/>
          <w:sz w:val="28"/>
        </w:rPr>
        <w:t>参考文献</w:t>
      </w:r>
    </w:p>
    <w:p>
      <w:pPr>
        <w:spacing w:after="0"/>
        <w:ind w:hanging="720" w:left="720"/>
      </w:pPr>
      <w:r>
        <w:rPr>
          <w:rFonts w:ascii="Times New Roman" w:hAnsi="Times New Roman" w:eastAsia="宋体"/>
          <w:b/>
          <w:sz w:val="24"/>
        </w:rPr>
        <w:t xml:space="preserve">Abdullah, </w:t>
      </w:r>
      <w:r>
        <w:rPr>
          <w:rFonts w:ascii="Times New Roman" w:hAnsi="Times New Roman" w:eastAsia="宋体"/>
          <w:b w:val="0"/>
          <w:sz w:val="24"/>
        </w:rPr>
        <w:t>M. N. L. Y. (2012). Embracing diversity by bridging the school-to-work transition of students with disabilities in Malaysia. In R. Maclean (Ed.), Technical and vocational education and training: Issues, concerns and prospects (Vol. 17, pp. 163-183). Springer. https://doi.org/10.1007/978-94-007-5107-1_9</w:t>
      </w:r>
    </w:p>
    <w:p>
      <w:pPr>
        <w:spacing w:after="0"/>
        <w:ind w:hanging="720" w:left="720"/>
      </w:pPr>
      <w:r>
        <w:rPr>
          <w:rFonts w:ascii="Times New Roman" w:hAnsi="Times New Roman" w:eastAsia="宋体"/>
          <w:b/>
          <w:sz w:val="24"/>
        </w:rPr>
        <w:t xml:space="preserve">Abdullah, </w:t>
      </w:r>
      <w:r>
        <w:rPr>
          <w:rFonts w:ascii="Times New Roman" w:hAnsi="Times New Roman" w:eastAsia="宋体"/>
          <w:b w:val="0"/>
          <w:sz w:val="24"/>
        </w:rPr>
        <w:t>N., &amp; Ibrahim, R. (2021). Parents involvement in implementation of career transition for students with learning disabilities from a teacher's perspective in Malaysia. International Journal of Academic Research in Business and Social Sciences, 11(8). https://doi.org/10.6007/ijarbss/v11-i8/10418</w:t>
      </w:r>
    </w:p>
    <w:p>
      <w:pPr>
        <w:spacing w:after="0"/>
        <w:ind w:hanging="720" w:left="720"/>
      </w:pPr>
      <w:r>
        <w:rPr>
          <w:rFonts w:ascii="Times New Roman" w:hAnsi="Times New Roman" w:eastAsia="宋体"/>
          <w:b/>
          <w:sz w:val="24"/>
        </w:rPr>
        <w:t xml:space="preserve">Asia-Pacific </w:t>
      </w:r>
      <w:r>
        <w:rPr>
          <w:rFonts w:ascii="Times New Roman" w:hAnsi="Times New Roman" w:eastAsia="宋体"/>
          <w:b w:val="0"/>
          <w:sz w:val="24"/>
        </w:rPr>
        <w:t>Development Center on Disability. (n.d.). Introduction to Job Coach: Promotes sustainable employment of persons with disabilities. https://apcdfoundation.org/sites/default/files/2023-07/1.%20Introduction_to_Job_Coach_English.pdf</w:t>
      </w:r>
    </w:p>
    <w:p>
      <w:pPr>
        <w:spacing w:after="0"/>
        <w:ind w:hanging="720" w:left="720"/>
      </w:pPr>
      <w:r>
        <w:rPr>
          <w:rFonts w:ascii="Times New Roman" w:hAnsi="Times New Roman" w:eastAsia="宋体"/>
          <w:b/>
          <w:sz w:val="24"/>
        </w:rPr>
        <w:t xml:space="preserve">Basquial, </w:t>
      </w:r>
      <w:r>
        <w:rPr>
          <w:rFonts w:ascii="Times New Roman" w:hAnsi="Times New Roman" w:eastAsia="宋体"/>
          <w:b w:val="0"/>
          <w:sz w:val="24"/>
        </w:rPr>
        <w:t>K. B. (2026). The Effectiveness of Workplace Support Interventions in Increasing Long-Term Employment Retention Among Adults with Intellectual Disabilities: A Quantitative Meta-Analysis. British Journal of Nursing Studies, 6(3), 01-16. https://doi.org/10.32996/bjns.2026.6.3.1</w:t>
      </w:r>
    </w:p>
    <w:p>
      <w:pPr>
        <w:spacing w:after="0"/>
        <w:ind w:hanging="720" w:left="720"/>
      </w:pPr>
      <w:r>
        <w:rPr>
          <w:rFonts w:ascii="Times New Roman" w:hAnsi="Times New Roman" w:eastAsia="宋体"/>
          <w:b/>
          <w:sz w:val="24"/>
        </w:rPr>
        <w:t xml:space="preserve">Bernama. </w:t>
      </w:r>
      <w:r>
        <w:rPr>
          <w:rFonts w:ascii="Times New Roman" w:hAnsi="Times New Roman" w:eastAsia="宋体"/>
          <w:b w:val="0"/>
          <w:sz w:val="24"/>
        </w:rPr>
        <w:t>(2024, January 16). KPWKM to collaborate with Gardenia KL to empower Bengkel Daya programme. https://www.bernama.com/en/news.php?id=2262939</w:t>
      </w:r>
    </w:p>
    <w:p>
      <w:pPr>
        <w:spacing w:after="0"/>
        <w:ind w:hanging="720" w:left="720"/>
      </w:pPr>
      <w:r>
        <w:rPr>
          <w:rFonts w:ascii="Times New Roman" w:hAnsi="Times New Roman" w:eastAsia="宋体"/>
          <w:b/>
          <w:sz w:val="24"/>
        </w:rPr>
        <w:t xml:space="preserve">Borneo </w:t>
      </w:r>
      <w:r>
        <w:rPr>
          <w:rFonts w:ascii="Times New Roman" w:hAnsi="Times New Roman" w:eastAsia="宋体"/>
          <w:b w:val="0"/>
          <w:sz w:val="24"/>
        </w:rPr>
        <w:t>Post. (2011, December 3). Industrial training and rehabilitation for the disabled. https://www.theborneopost.com/2011/12/03/industrial-training-and-rehabilitation-for-the-disabled/</w:t>
      </w:r>
    </w:p>
    <w:p>
      <w:pPr>
        <w:spacing w:after="0"/>
        <w:ind w:hanging="720" w:left="720"/>
      </w:pPr>
      <w:r>
        <w:rPr>
          <w:rFonts w:ascii="Times New Roman" w:hAnsi="Times New Roman" w:eastAsia="宋体"/>
          <w:b/>
          <w:sz w:val="24"/>
        </w:rPr>
        <w:t xml:space="preserve">Carlson, </w:t>
      </w:r>
      <w:r>
        <w:rPr>
          <w:rFonts w:ascii="Times New Roman" w:hAnsi="Times New Roman" w:eastAsia="宋体"/>
          <w:b w:val="0"/>
          <w:sz w:val="24"/>
        </w:rPr>
        <w:t>S. R., Morningstar, M. E., &amp; Munandar, V. (2020). Workplace supports for employees with intellectual disability: A systematic review of the intervention literature. Journal of Vocational Rehabilitation, 52(3), 251-265. https://doi.org/10.3233/JVR-201075</w:t>
      </w:r>
    </w:p>
    <w:p>
      <w:pPr>
        <w:spacing w:after="0"/>
        <w:ind w:hanging="720" w:left="720"/>
      </w:pPr>
      <w:r>
        <w:rPr>
          <w:rFonts w:ascii="Times New Roman" w:hAnsi="Times New Roman" w:eastAsia="宋体"/>
          <w:b/>
          <w:sz w:val="24"/>
        </w:rPr>
        <w:t xml:space="preserve">Chen, </w:t>
      </w:r>
      <w:r>
        <w:rPr>
          <w:rFonts w:ascii="Times New Roman" w:hAnsi="Times New Roman" w:eastAsia="宋体"/>
          <w:b w:val="0"/>
          <w:sz w:val="24"/>
        </w:rPr>
        <w:t>H. Y. (2025). China's education going global to Southeast Asia is maturing. Zhongguancun, (8), 99.</w:t>
      </w:r>
    </w:p>
    <w:p>
      <w:pPr>
        <w:spacing w:after="0"/>
        <w:ind w:hanging="720" w:left="720"/>
      </w:pPr>
      <w:r>
        <w:rPr>
          <w:rFonts w:ascii="Times New Roman" w:hAnsi="Times New Roman" w:eastAsia="宋体"/>
          <w:b/>
          <w:sz w:val="24"/>
        </w:rPr>
        <w:t xml:space="preserve">China </w:t>
      </w:r>
      <w:r>
        <w:rPr>
          <w:rFonts w:ascii="Times New Roman" w:hAnsi="Times New Roman" w:eastAsia="宋体"/>
          <w:b w:val="0"/>
          <w:sz w:val="24"/>
        </w:rPr>
        <w:t>Youth Online. (2025, September 13). Special youth employment: Behind them are guardians [Qingtai project, Fengxian]. https://news.cyol.com/gb/articles/2025-09/13/content_jpPja4cwoL.html</w:t>
      </w:r>
    </w:p>
    <w:p>
      <w:pPr>
        <w:spacing w:after="0"/>
        <w:ind w:hanging="720" w:left="720"/>
      </w:pPr>
      <w:r>
        <w:rPr>
          <w:rFonts w:ascii="Times New Roman" w:hAnsi="Times New Roman" w:eastAsia="宋体"/>
          <w:b/>
          <w:sz w:val="24"/>
        </w:rPr>
        <w:t xml:space="preserve">Dai, </w:t>
      </w:r>
      <w:r>
        <w:rPr>
          <w:rFonts w:ascii="Times New Roman" w:hAnsi="Times New Roman" w:eastAsia="宋体"/>
          <w:b w:val="0"/>
          <w:sz w:val="24"/>
        </w:rPr>
        <w:t>J., Hanifah, J., &amp; Chi, C. (2023). Characteristics, challenges and enlightenment of Malaysia's vocational education. Adult Education, 43(3), 87-93.</w:t>
      </w:r>
    </w:p>
    <w:p>
      <w:pPr>
        <w:spacing w:after="0"/>
        <w:ind w:hanging="720" w:left="720"/>
      </w:pPr>
      <w:r>
        <w:rPr>
          <w:rFonts w:ascii="Times New Roman" w:hAnsi="Times New Roman" w:eastAsia="宋体"/>
          <w:b/>
          <w:sz w:val="24"/>
        </w:rPr>
        <w:t xml:space="preserve">Eastday </w:t>
      </w:r>
      <w:r>
        <w:rPr>
          <w:rFonts w:ascii="Times New Roman" w:hAnsi="Times New Roman" w:eastAsia="宋体"/>
          <w:b w:val="0"/>
          <w:sz w:val="24"/>
        </w:rPr>
        <w:t>Education. (2021, March 12). Fengxian strengthens special secondary vocational class construction to serve sustainable development of special students. https://edu.eastday.com/node2/jypd/n5/20210312/u1ai37879.html</w:t>
      </w:r>
    </w:p>
    <w:p>
      <w:pPr>
        <w:spacing w:after="0"/>
        <w:ind w:hanging="720" w:left="720"/>
      </w:pPr>
      <w:r>
        <w:rPr>
          <w:rFonts w:ascii="Times New Roman" w:hAnsi="Times New Roman" w:eastAsia="宋体"/>
          <w:b/>
          <w:sz w:val="24"/>
        </w:rPr>
        <w:t xml:space="preserve">Fan, </w:t>
      </w:r>
      <w:r>
        <w:rPr>
          <w:rFonts w:ascii="Times New Roman" w:hAnsi="Times New Roman" w:eastAsia="宋体"/>
          <w:b w:val="0"/>
          <w:sz w:val="24"/>
        </w:rPr>
        <w:t>W. X., &amp; Li, D. Y. (2026). The Guangzhou exemplar of "skill export" in the new-energy bus industry under the RCEP framework: An empirical study based on the Guangdong-Hong Kong-Macau Greater Bay Area public-transport industry-education integration ecosystem. Urban Public Transport, (7), 65-68.</w:t>
      </w:r>
    </w:p>
    <w:p>
      <w:pPr>
        <w:spacing w:after="0"/>
        <w:ind w:hanging="720" w:left="720"/>
      </w:pPr>
      <w:r>
        <w:rPr>
          <w:rFonts w:ascii="Times New Roman" w:hAnsi="Times New Roman" w:eastAsia="宋体"/>
          <w:b/>
          <w:sz w:val="24"/>
        </w:rPr>
        <w:t xml:space="preserve">Fan, </w:t>
      </w:r>
      <w:r>
        <w:rPr>
          <w:rFonts w:ascii="Times New Roman" w:hAnsi="Times New Roman" w:eastAsia="宋体"/>
          <w:b w:val="0"/>
          <w:sz w:val="24"/>
        </w:rPr>
        <w:t>H. (2026). Development of Malaysian vocational education: Diversification, internationalisation, and structural constraints. International Journal of Educational Development, 98, 102-115.</w:t>
      </w:r>
    </w:p>
    <w:p>
      <w:pPr>
        <w:spacing w:after="0"/>
        <w:ind w:hanging="720" w:left="720"/>
      </w:pPr>
      <w:r>
        <w:rPr>
          <w:rFonts w:ascii="Times New Roman" w:hAnsi="Times New Roman" w:eastAsia="宋体"/>
          <w:b/>
          <w:sz w:val="24"/>
        </w:rPr>
        <w:t xml:space="preserve">Feng, </w:t>
      </w:r>
      <w:r>
        <w:rPr>
          <w:rFonts w:ascii="Times New Roman" w:hAnsi="Times New Roman" w:eastAsia="宋体"/>
          <w:b w:val="0"/>
          <w:sz w:val="24"/>
        </w:rPr>
        <w:t>C. W. (2025). The history and future of China-Malaysia higher-education cooperation. Journal of Guangxi Institute of Socialism, 36(4), 99-104.</w:t>
      </w:r>
    </w:p>
    <w:p>
      <w:pPr>
        <w:spacing w:after="0"/>
        <w:ind w:hanging="720" w:left="720"/>
      </w:pPr>
      <w:r>
        <w:rPr>
          <w:rFonts w:ascii="Times New Roman" w:hAnsi="Times New Roman" w:eastAsia="宋体"/>
          <w:b/>
          <w:sz w:val="24"/>
        </w:rPr>
        <w:t xml:space="preserve">Fengxian </w:t>
      </w:r>
      <w:r>
        <w:rPr>
          <w:rFonts w:ascii="Times New Roman" w:hAnsi="Times New Roman" w:eastAsia="宋体"/>
          <w:b w:val="0"/>
          <w:sz w:val="24"/>
        </w:rPr>
        <w:t>District Government. (2023, June 7). On-campus Xinyuan Xiaoshe coffee: Can it help special-education students step into ordinary-life scenarios? https://www.fengxian.gov.cn/gzms/20230607/44579.html</w:t>
      </w:r>
    </w:p>
    <w:p>
      <w:pPr>
        <w:spacing w:after="0"/>
        <w:ind w:hanging="720" w:left="720"/>
      </w:pPr>
      <w:r>
        <w:rPr>
          <w:rFonts w:ascii="Times New Roman" w:hAnsi="Times New Roman" w:eastAsia="宋体"/>
          <w:b/>
          <w:sz w:val="24"/>
        </w:rPr>
        <w:t xml:space="preserve">Fengxian </w:t>
      </w:r>
      <w:r>
        <w:rPr>
          <w:rFonts w:ascii="Times New Roman" w:hAnsi="Times New Roman" w:eastAsia="宋体"/>
          <w:b w:val="0"/>
          <w:sz w:val="24"/>
        </w:rPr>
        <w:t>Secondary Vocational School. (2021, December 10). School establishes job-cognition practice base Xinyuan Xiaoshe for special-education secondary-vocational students. https://www.fxzz.sh.cn/contents/10/486.html</w:t>
      </w:r>
    </w:p>
    <w:p>
      <w:pPr>
        <w:spacing w:after="0"/>
        <w:ind w:hanging="720" w:left="720"/>
      </w:pPr>
      <w:r>
        <w:rPr>
          <w:rFonts w:ascii="Times New Roman" w:hAnsi="Times New Roman" w:eastAsia="宋体"/>
          <w:b/>
          <w:sz w:val="24"/>
        </w:rPr>
        <w:t xml:space="preserve">Fengxian </w:t>
      </w:r>
      <w:r>
        <w:rPr>
          <w:rFonts w:ascii="Times New Roman" w:hAnsi="Times New Roman" w:eastAsia="宋体"/>
          <w:b w:val="0"/>
          <w:sz w:val="24"/>
        </w:rPr>
        <w:t>Secondary Vocational School. (2026a, March 11). Special-education students promote lifelong-learning development: Overpass project new-semester meeting. https://www.fxzz.sh.cn/contents/10/1948.html</w:t>
      </w:r>
    </w:p>
    <w:p>
      <w:pPr>
        <w:spacing w:after="0"/>
        <w:ind w:hanging="720" w:left="720"/>
      </w:pPr>
      <w:r>
        <w:rPr>
          <w:rFonts w:ascii="Times New Roman" w:hAnsi="Times New Roman" w:eastAsia="宋体"/>
          <w:b/>
          <w:sz w:val="24"/>
        </w:rPr>
        <w:t xml:space="preserve">Fengxian </w:t>
      </w:r>
      <w:r>
        <w:rPr>
          <w:rFonts w:ascii="Times New Roman" w:hAnsi="Times New Roman" w:eastAsia="宋体"/>
          <w:b w:val="0"/>
          <w:sz w:val="24"/>
        </w:rPr>
        <w:t>Secondary Vocational School. (2026b, May 27). Career experience for ninth-grade Huimin School students at Fengxian secondary vocational school. https://www.fxzz.sh.cn/contents/223/1963.html</w:t>
      </w:r>
    </w:p>
    <w:p>
      <w:pPr>
        <w:spacing w:after="0"/>
        <w:ind w:hanging="720" w:left="720"/>
      </w:pPr>
      <w:r>
        <w:rPr>
          <w:rFonts w:ascii="Times New Roman" w:hAnsi="Times New Roman" w:eastAsia="宋体"/>
          <w:b/>
          <w:sz w:val="24"/>
        </w:rPr>
        <w:t xml:space="preserve">ForaEd. </w:t>
      </w:r>
      <w:r>
        <w:rPr>
          <w:rFonts w:ascii="Times New Roman" w:hAnsi="Times New Roman" w:eastAsia="宋体"/>
          <w:b w:val="0"/>
          <w:sz w:val="24"/>
        </w:rPr>
        <w:t>(2024). Transition from education to employment in Malaysia: Situational analysis of youth with disabilities (ForaEd Working Paper 2024-04). https://static1.squarespace.com/static/5e3d3a278465d45bc9bba541/t/6619496b5de9cf4756f6c270/1712933232934/ForaEd_Report2024-04_TransitionMalaysia.pdf</w:t>
      </w:r>
    </w:p>
    <w:p>
      <w:pPr>
        <w:spacing w:after="0"/>
        <w:ind w:hanging="720" w:left="720"/>
      </w:pPr>
      <w:r>
        <w:rPr>
          <w:rFonts w:ascii="Times New Roman" w:hAnsi="Times New Roman" w:eastAsia="宋体"/>
          <w:b/>
          <w:sz w:val="24"/>
        </w:rPr>
        <w:t xml:space="preserve">Gamuda. </w:t>
      </w:r>
      <w:r>
        <w:rPr>
          <w:rFonts w:ascii="Times New Roman" w:hAnsi="Times New Roman" w:eastAsia="宋体"/>
          <w:b w:val="0"/>
          <w:sz w:val="24"/>
        </w:rPr>
        <w:t>(n.d.). Enabling Academy: Employment Transition Programme [Brochure]. https://gamuda.com/wp-content/uploads/2022/04/Employment-Transition-Programme_Chinese.pdf</w:t>
      </w:r>
    </w:p>
    <w:p>
      <w:pPr>
        <w:spacing w:after="0"/>
        <w:ind w:hanging="720" w:left="720"/>
      </w:pPr>
      <w:r>
        <w:rPr>
          <w:rFonts w:ascii="Times New Roman" w:hAnsi="Times New Roman" w:eastAsia="宋体"/>
          <w:b/>
          <w:sz w:val="24"/>
        </w:rPr>
        <w:t xml:space="preserve">He, </w:t>
      </w:r>
      <w:r>
        <w:rPr>
          <w:rFonts w:ascii="Times New Roman" w:hAnsi="Times New Roman" w:eastAsia="宋体"/>
          <w:b w:val="0"/>
          <w:sz w:val="24"/>
        </w:rPr>
        <w:t>F. Y., Lin, R. W., &amp; Zhao, H. M. (2024). Malaysian vocational education: History, trends and implications. Journal of Guangxi Vocational &amp; Technical College, 17(4), 82-88.</w:t>
      </w:r>
    </w:p>
    <w:p>
      <w:pPr>
        <w:spacing w:after="0"/>
        <w:ind w:hanging="720" w:left="720"/>
      </w:pPr>
      <w:r>
        <w:rPr>
          <w:rFonts w:ascii="Times New Roman" w:hAnsi="Times New Roman" w:eastAsia="宋体"/>
          <w:b/>
          <w:sz w:val="24"/>
        </w:rPr>
        <w:t xml:space="preserve">International </w:t>
      </w:r>
      <w:r>
        <w:rPr>
          <w:rFonts w:ascii="Times New Roman" w:hAnsi="Times New Roman" w:eastAsia="宋体"/>
          <w:b w:val="0"/>
          <w:sz w:val="24"/>
        </w:rPr>
        <w:t>Journal of Creative Writing and English Literature. (2021). Career transition programme for student with learning disabilities: In excellent teachers' own words. International Journal of Creative Writing and English Literature, 1(2), 1-20. https://ijcwed.com/wp-content/uploads/2021/06/IJCWED12-201.pdf</w:t>
      </w:r>
    </w:p>
    <w:p>
      <w:pPr>
        <w:spacing w:after="0"/>
        <w:ind w:hanging="720" w:left="720"/>
      </w:pPr>
      <w:r>
        <w:rPr>
          <w:rFonts w:ascii="Times New Roman" w:hAnsi="Times New Roman" w:eastAsia="宋体"/>
          <w:b/>
          <w:sz w:val="24"/>
        </w:rPr>
        <w:t xml:space="preserve">Ismail, </w:t>
      </w:r>
      <w:r>
        <w:rPr>
          <w:rFonts w:ascii="Times New Roman" w:hAnsi="Times New Roman" w:eastAsia="宋体"/>
          <w:b w:val="0"/>
          <w:sz w:val="24"/>
        </w:rPr>
        <w:t>A., &amp; Zainal Abiddin, N. (2014). Issues and challenges of technical and vocational education and training in Malaysia towards human capital development. Middle-East Journal of Scientific Research, 19(2), 7-11. https://www.researchgate.net/publication/313566648_Issues_and_Challenges_of_Technical_and_Vocational_Education_and_Training_in_Malaysia_Towards_Human_Capital_Development</w:t>
      </w:r>
    </w:p>
    <w:p>
      <w:pPr>
        <w:spacing w:after="0"/>
        <w:ind w:hanging="720" w:left="720"/>
      </w:pPr>
      <w:r>
        <w:rPr>
          <w:rFonts w:ascii="Times New Roman" w:hAnsi="Times New Roman" w:eastAsia="宋体"/>
          <w:b/>
          <w:sz w:val="24"/>
        </w:rPr>
        <w:t xml:space="preserve">Jabatan </w:t>
      </w:r>
      <w:r>
        <w:rPr>
          <w:rFonts w:ascii="Times New Roman" w:hAnsi="Times New Roman" w:eastAsia="宋体"/>
          <w:b w:val="0"/>
          <w:sz w:val="24"/>
        </w:rPr>
        <w:t>Kebajikan Masyarakat. (n.d.). Job Coach. https://www.jkm.gov.my/</w:t>
      </w:r>
    </w:p>
    <w:p>
      <w:pPr>
        <w:spacing w:after="0"/>
        <w:ind w:hanging="720" w:left="720"/>
      </w:pPr>
      <w:r>
        <w:rPr>
          <w:rFonts w:ascii="Times New Roman" w:hAnsi="Times New Roman" w:eastAsia="宋体"/>
          <w:b/>
          <w:sz w:val="24"/>
        </w:rPr>
        <w:t xml:space="preserve">Jamaludin, </w:t>
      </w:r>
      <w:r>
        <w:rPr>
          <w:rFonts w:ascii="Times New Roman" w:hAnsi="Times New Roman" w:eastAsia="宋体"/>
          <w:b w:val="0"/>
          <w:sz w:val="24"/>
        </w:rPr>
        <w:t>R. B., A. Hamid, A. H., &amp; Alias, B. S. (2023). Empowering technical and vocational education and training (TVET). International Journal of Academic Research in Business and Social Sciences, 13(12), 3072-3080.</w:t>
      </w:r>
    </w:p>
    <w:p>
      <w:pPr>
        <w:spacing w:after="0"/>
        <w:ind w:hanging="720" w:left="720"/>
      </w:pPr>
      <w:r>
        <w:rPr>
          <w:rFonts w:ascii="Times New Roman" w:hAnsi="Times New Roman" w:eastAsia="宋体"/>
          <w:b/>
          <w:sz w:val="24"/>
        </w:rPr>
        <w:t xml:space="preserve">Lembaga </w:t>
      </w:r>
      <w:r>
        <w:rPr>
          <w:rFonts w:ascii="Times New Roman" w:hAnsi="Times New Roman" w:eastAsia="宋体"/>
          <w:b w:val="0"/>
          <w:sz w:val="24"/>
        </w:rPr>
        <w:t>Hasil Dalam Negeri Malaysia. (n.d.). Tax incentives and relief for persons with disabilities. https://www.hasil.gov.my/</w:t>
      </w:r>
    </w:p>
    <w:p>
      <w:pPr>
        <w:spacing w:after="0"/>
        <w:ind w:hanging="720" w:left="720"/>
      </w:pPr>
      <w:r>
        <w:rPr>
          <w:rFonts w:ascii="Times New Roman" w:hAnsi="Times New Roman" w:eastAsia="宋体"/>
          <w:b/>
          <w:sz w:val="24"/>
        </w:rPr>
        <w:t xml:space="preserve">Li, </w:t>
      </w:r>
      <w:r>
        <w:rPr>
          <w:rFonts w:ascii="Times New Roman" w:hAnsi="Times New Roman" w:eastAsia="宋体"/>
          <w:b w:val="0"/>
          <w:sz w:val="24"/>
        </w:rPr>
        <w:t>D. J. (2023). Let vocational education become a powerful engine for promoting the characteristic development of county-level special-education schools. Modern Special Education, (11), 63-65.</w:t>
      </w:r>
    </w:p>
    <w:p>
      <w:pPr>
        <w:spacing w:after="0"/>
        <w:ind w:hanging="720" w:left="720"/>
      </w:pPr>
      <w:r>
        <w:rPr>
          <w:rFonts w:ascii="Times New Roman" w:hAnsi="Times New Roman" w:eastAsia="宋体"/>
          <w:b/>
          <w:sz w:val="24"/>
        </w:rPr>
        <w:t xml:space="preserve">Liu, </w:t>
      </w:r>
      <w:r>
        <w:rPr>
          <w:rFonts w:ascii="Times New Roman" w:hAnsi="Times New Roman" w:eastAsia="宋体"/>
          <w:b w:val="0"/>
          <w:sz w:val="24"/>
        </w:rPr>
        <w:t>Z. P., &amp; Lu, X. T. (2024). Innovative promotion of China-ASEAN "Chinese + vocational skills" talent cultivation under the RCEP framework. Chuancheng, (1), 35-45.</w:t>
      </w:r>
    </w:p>
    <w:p>
      <w:pPr>
        <w:spacing w:after="0"/>
        <w:ind w:hanging="720" w:left="720"/>
      </w:pPr>
      <w:r>
        <w:rPr>
          <w:rFonts w:ascii="Times New Roman" w:hAnsi="Times New Roman" w:eastAsia="宋体"/>
          <w:b/>
          <w:sz w:val="24"/>
        </w:rPr>
        <w:t xml:space="preserve">Malaysia. </w:t>
      </w:r>
      <w:r>
        <w:rPr>
          <w:rFonts w:ascii="Times New Roman" w:hAnsi="Times New Roman" w:eastAsia="宋体"/>
          <w:b w:val="0"/>
          <w:sz w:val="24"/>
        </w:rPr>
        <w:t>(2008). Persons with Disabilities Act 2008 (Act 685). https://lom.agc.gov.my/Laws/Act-685</w:t>
      </w:r>
    </w:p>
    <w:p>
      <w:pPr>
        <w:spacing w:after="0"/>
        <w:ind w:hanging="720" w:left="720"/>
      </w:pPr>
      <w:r>
        <w:rPr>
          <w:rFonts w:ascii="Times New Roman" w:hAnsi="Times New Roman" w:eastAsia="宋体"/>
          <w:b/>
          <w:sz w:val="24"/>
        </w:rPr>
        <w:t xml:space="preserve">Malaysia </w:t>
      </w:r>
      <w:r>
        <w:rPr>
          <w:rFonts w:ascii="Times New Roman" w:hAnsi="Times New Roman" w:eastAsia="宋体"/>
          <w:b w:val="0"/>
          <w:sz w:val="24"/>
        </w:rPr>
        <w:t>Ministry of Education. (2017). Malaysia education blueprint annual report 2017. https://www.moe.gov.my/storage/files/shares/Dasar/PPPM/MEB%20Annual%20Report%202017.pdf</w:t>
      </w:r>
    </w:p>
    <w:p>
      <w:pPr>
        <w:spacing w:after="0"/>
        <w:ind w:hanging="720" w:left="720"/>
      </w:pPr>
      <w:r>
        <w:rPr>
          <w:rFonts w:ascii="Times New Roman" w:hAnsi="Times New Roman" w:eastAsia="宋体"/>
          <w:b/>
          <w:sz w:val="24"/>
        </w:rPr>
        <w:t xml:space="preserve">Manaf, </w:t>
      </w:r>
      <w:r>
        <w:rPr>
          <w:rFonts w:ascii="Times New Roman" w:hAnsi="Times New Roman" w:eastAsia="宋体"/>
          <w:b w:val="0"/>
          <w:sz w:val="24"/>
        </w:rPr>
        <w:t>A. R. A., Othman, S. Z., Isa, M. F. M., Noor, W. S. M. M., &amp; Azizan, N. (2019). Employment challenges among persons with disabilities in Malaysia. International Journal of Academic Research in Business and Social Sciences, 9(10), 1-22. https://doi.org/10.6007/IJARBSS/v9-i10/6469</w:t>
      </w:r>
    </w:p>
    <w:p>
      <w:pPr>
        <w:spacing w:after="0"/>
        <w:ind w:hanging="720" w:left="720"/>
      </w:pPr>
      <w:r>
        <w:rPr>
          <w:rFonts w:ascii="Times New Roman" w:hAnsi="Times New Roman" w:eastAsia="宋体"/>
          <w:b/>
          <w:sz w:val="24"/>
        </w:rPr>
        <w:t xml:space="preserve">Mastam, </w:t>
      </w:r>
      <w:r>
        <w:rPr>
          <w:rFonts w:ascii="Times New Roman" w:hAnsi="Times New Roman" w:eastAsia="宋体"/>
          <w:b w:val="0"/>
          <w:sz w:val="24"/>
        </w:rPr>
        <w:t>N. M., &amp; Zaharudin, R. (2024). Work readiness skills for students with learning disabilities in special education vocational schools: A conceptual framework. Jurnal Pendidikan Bitara UPSI, 17, 1-10. https://doi.org/10.37134/bitara.vol17.sp.1.2024</w:t>
      </w:r>
    </w:p>
    <w:p>
      <w:pPr>
        <w:spacing w:after="0"/>
        <w:ind w:hanging="720" w:left="720"/>
      </w:pPr>
      <w:r>
        <w:rPr>
          <w:rFonts w:ascii="Times New Roman" w:hAnsi="Times New Roman" w:eastAsia="宋体"/>
          <w:b/>
          <w:sz w:val="24"/>
        </w:rPr>
        <w:t xml:space="preserve">Matthew, </w:t>
      </w:r>
      <w:r>
        <w:rPr>
          <w:rFonts w:ascii="Times New Roman" w:hAnsi="Times New Roman" w:eastAsia="宋体"/>
          <w:b w:val="0"/>
          <w:sz w:val="24"/>
        </w:rPr>
        <w:t>D. (2024). Transition from education to employment in Malaysia: Situational analysis of youth with disabilities. ForaEd Working Paper 2024-04. https://static1.squarespace.com/static/5e3d3a278465d45bc9bba541/t/6619496b5de9cf4756f6c270/1712933232934/ForaEd_Report2024-04_TransitionMalaysia.pdf</w:t>
      </w:r>
    </w:p>
    <w:p>
      <w:pPr>
        <w:spacing w:after="0"/>
        <w:ind w:hanging="720" w:left="720"/>
      </w:pPr>
      <w:r>
        <w:rPr>
          <w:rFonts w:ascii="Times New Roman" w:hAnsi="Times New Roman" w:eastAsia="宋体"/>
          <w:b/>
          <w:sz w:val="24"/>
        </w:rPr>
        <w:t xml:space="preserve">Megat </w:t>
      </w:r>
      <w:r>
        <w:rPr>
          <w:rFonts w:ascii="Times New Roman" w:hAnsi="Times New Roman" w:eastAsia="宋体"/>
          <w:b w:val="0"/>
          <w:sz w:val="24"/>
        </w:rPr>
        <w:t>Khalid, P. Z. S., Yusop, S. I. M., Mason, M. Y., Mohd Dahalan, C., &amp; Wardiah. (2022). Technical vocational education training pathway for post-secondary autistic students in Malaysia. In Proceedings of the international conference. Springer. https://doi.org/10.1007/978-3-030-67307-9_10</w:t>
      </w:r>
    </w:p>
    <w:p>
      <w:pPr>
        <w:spacing w:after="0"/>
        <w:ind w:hanging="720" w:left="720"/>
      </w:pPr>
      <w:r>
        <w:rPr>
          <w:rFonts w:ascii="Times New Roman" w:hAnsi="Times New Roman" w:eastAsia="宋体"/>
          <w:b/>
          <w:sz w:val="24"/>
        </w:rPr>
        <w:t xml:space="preserve">Ministry </w:t>
      </w:r>
      <w:r>
        <w:rPr>
          <w:rFonts w:ascii="Times New Roman" w:hAnsi="Times New Roman" w:eastAsia="宋体"/>
          <w:b w:val="0"/>
          <w:sz w:val="24"/>
        </w:rPr>
        <w:t>of Finance (China). (2023). Announcement on continuing preferential policies for disability employment security fund (Announcement No. 8). https://www.chinatax.gov.cn/chinatax/n810214/n810641/n810765/c5267892/content.html</w:t>
      </w:r>
    </w:p>
    <w:p>
      <w:pPr>
        <w:spacing w:after="0"/>
        <w:ind w:hanging="720" w:left="720"/>
      </w:pPr>
      <w:r>
        <w:rPr>
          <w:rFonts w:ascii="Times New Roman" w:hAnsi="Times New Roman" w:eastAsia="宋体"/>
          <w:b/>
          <w:sz w:val="24"/>
        </w:rPr>
        <w:t xml:space="preserve">Ministry </w:t>
      </w:r>
      <w:r>
        <w:rPr>
          <w:rFonts w:ascii="Times New Roman" w:hAnsi="Times New Roman" w:eastAsia="宋体"/>
          <w:b w:val="0"/>
          <w:sz w:val="24"/>
        </w:rPr>
        <w:t>of Finance (China), State Taxation Administration, &amp; China Disabled Persons' Federation. (2015). Disability employment security fund management measures (Cai Shui [2015] No. 72). https://www.chinatax.gov.cn/chinatax/n377/c5207592/content.html</w:t>
      </w:r>
    </w:p>
    <w:p>
      <w:pPr>
        <w:spacing w:after="0"/>
        <w:ind w:hanging="720" w:left="720"/>
      </w:pPr>
      <w:r>
        <w:rPr>
          <w:rFonts w:ascii="Times New Roman" w:hAnsi="Times New Roman" w:eastAsia="宋体"/>
          <w:b/>
          <w:sz w:val="24"/>
        </w:rPr>
        <w:t xml:space="preserve">MIND/SAMH. </w:t>
      </w:r>
      <w:r>
        <w:rPr>
          <w:rFonts w:ascii="Times New Roman" w:hAnsi="Times New Roman" w:eastAsia="宋体"/>
          <w:b w:val="0"/>
          <w:sz w:val="24"/>
        </w:rPr>
        <w:t>(n.d.-a). SARC/Wisma Harapan School, sheltered workshop and vocational training centre. https://mind.org.my/?p=1055</w:t>
      </w:r>
    </w:p>
    <w:p>
      <w:pPr>
        <w:spacing w:after="0"/>
        <w:ind w:hanging="720" w:left="720"/>
      </w:pPr>
      <w:r>
        <w:rPr>
          <w:rFonts w:ascii="Times New Roman" w:hAnsi="Times New Roman" w:eastAsia="宋体"/>
          <w:b/>
          <w:sz w:val="24"/>
        </w:rPr>
        <w:t xml:space="preserve">Mustapha, </w:t>
      </w:r>
      <w:r>
        <w:rPr>
          <w:rFonts w:ascii="Times New Roman" w:hAnsi="Times New Roman" w:eastAsia="宋体"/>
          <w:b w:val="0"/>
          <w:sz w:val="24"/>
        </w:rPr>
        <w:t>R. (2017). Skills training and vocational education in Malaysia. In Skills training and vocational education in Malaysia (pp. 137-153). Springer. https://doi.org/10.1007/978-981-10-4427-4_9</w:t>
      </w:r>
    </w:p>
    <w:p>
      <w:pPr>
        <w:spacing w:after="0"/>
        <w:ind w:hanging="720" w:left="720"/>
      </w:pPr>
      <w:r>
        <w:rPr>
          <w:rFonts w:ascii="Times New Roman" w:hAnsi="Times New Roman" w:eastAsia="宋体"/>
          <w:b/>
          <w:sz w:val="24"/>
        </w:rPr>
        <w:t xml:space="preserve">Othman, </w:t>
      </w:r>
      <w:r>
        <w:rPr>
          <w:rFonts w:ascii="Times New Roman" w:hAnsi="Times New Roman" w:eastAsia="宋体"/>
          <w:b w:val="0"/>
          <w:sz w:val="24"/>
        </w:rPr>
        <w:t>N. N. J. N., Kamaruzaman, F. M., &amp; Rasul, M. S. (2024). A pilot study on the perception of special education's students towards work ability and suitability job profile. International Journal of Modern Education, 6(20), 217-228. https://doi.org/10.35631/IJMOE.620017</w:t>
      </w:r>
    </w:p>
    <w:p>
      <w:pPr>
        <w:spacing w:after="0"/>
        <w:ind w:hanging="720" w:left="720"/>
      </w:pPr>
      <w:r>
        <w:rPr>
          <w:rFonts w:ascii="Times New Roman" w:hAnsi="Times New Roman" w:eastAsia="宋体"/>
          <w:b/>
          <w:sz w:val="24"/>
        </w:rPr>
        <w:t xml:space="preserve">Pan, </w:t>
      </w:r>
      <w:r>
        <w:rPr>
          <w:rFonts w:ascii="Times New Roman" w:hAnsi="Times New Roman" w:eastAsia="宋体"/>
          <w:b w:val="0"/>
          <w:sz w:val="24"/>
        </w:rPr>
        <w:t>Y., &amp; Zhang, C. K. (2025). Institutional nesting and digital empowerment: Research on cross-border collaborative-education mechanism for China-Malaysia vocational-education community. Guangxi Education, (11), 4-10.</w:t>
      </w:r>
    </w:p>
    <w:p>
      <w:pPr>
        <w:spacing w:after="0"/>
        <w:ind w:hanging="720" w:left="720"/>
      </w:pPr>
      <w:r>
        <w:rPr>
          <w:rFonts w:ascii="Times New Roman" w:hAnsi="Times New Roman" w:eastAsia="宋体"/>
          <w:b/>
          <w:sz w:val="24"/>
        </w:rPr>
        <w:t xml:space="preserve">Parr, </w:t>
      </w:r>
      <w:r>
        <w:rPr>
          <w:rFonts w:ascii="Times New Roman" w:hAnsi="Times New Roman" w:eastAsia="宋体"/>
          <w:b w:val="0"/>
          <w:sz w:val="24"/>
        </w:rPr>
        <w:t>A. D., MacKenzie, D. A., Hayes, J. A., Hoang, S., Papenhausen, E. L., Whelpley, C. E., &amp; Brodsky, J. M. (2026). A systematic review of autism in the workplace: Taking a holistic perspective on the Autistic employee life cycle. Applied Psychology. Advance online publication. https://doi.org/10.1111/apps.70116</w:t>
      </w:r>
    </w:p>
    <w:p>
      <w:pPr>
        <w:spacing w:after="0"/>
        <w:ind w:hanging="720" w:left="720"/>
      </w:pPr>
      <w:r>
        <w:rPr>
          <w:rFonts w:ascii="Times New Roman" w:hAnsi="Times New Roman" w:eastAsia="宋体"/>
          <w:b/>
          <w:sz w:val="24"/>
        </w:rPr>
        <w:t xml:space="preserve">Penang </w:t>
      </w:r>
      <w:r>
        <w:rPr>
          <w:rFonts w:ascii="Times New Roman" w:hAnsi="Times New Roman" w:eastAsia="宋体"/>
          <w:b w:val="0"/>
          <w:sz w:val="24"/>
        </w:rPr>
        <w:t>Institute. (n.d.). Crafting employment for persons with learning disabilities is a sound socio-economic stratagem. https://penanginstitute.org/wp-content/uploads/2025/09/Crafting-Employment-for-Persons-with-Learning-Disabilities-is-a-Sound-Socio-economic-Stratagem-1.pdf</w:t>
      </w:r>
    </w:p>
    <w:p>
      <w:pPr>
        <w:spacing w:after="0"/>
        <w:ind w:hanging="720" w:left="720"/>
      </w:pPr>
      <w:r>
        <w:rPr>
          <w:rFonts w:ascii="Times New Roman" w:hAnsi="Times New Roman" w:eastAsia="宋体"/>
          <w:b/>
          <w:sz w:val="24"/>
        </w:rPr>
        <w:t xml:space="preserve">Shen, </w:t>
      </w:r>
      <w:r>
        <w:rPr>
          <w:rFonts w:ascii="Times New Roman" w:hAnsi="Times New Roman" w:eastAsia="宋体"/>
          <w:b w:val="0"/>
          <w:sz w:val="24"/>
        </w:rPr>
        <w:t>L. (2019). Research and practice on career-development education for students with intellectual disabilities. Journal of Special Education in Shanghai. https://spe.hpe.cn/P/C/284111.htm</w:t>
      </w:r>
    </w:p>
    <w:p>
      <w:pPr>
        <w:spacing w:after="0"/>
        <w:ind w:hanging="720" w:left="720"/>
      </w:pPr>
      <w:r>
        <w:rPr>
          <w:rFonts w:ascii="Times New Roman" w:hAnsi="Times New Roman" w:eastAsia="宋体"/>
          <w:b/>
          <w:sz w:val="24"/>
        </w:rPr>
        <w:t xml:space="preserve">Shanghai </w:t>
      </w:r>
      <w:r>
        <w:rPr>
          <w:rFonts w:ascii="Times New Roman" w:hAnsi="Times New Roman" w:eastAsia="宋体"/>
          <w:b w:val="0"/>
          <w:sz w:val="24"/>
        </w:rPr>
        <w:t>Municipal Education Commission. (2018). Shanghai special secondary vocational education school (class) curriculum plan (trial). https://edu.sh.gov.cn/shgy_tsjy_gz_1/20211222/v2-0015-gw_402142018001.html</w:t>
      </w:r>
    </w:p>
    <w:p>
      <w:pPr>
        <w:spacing w:after="0"/>
        <w:ind w:hanging="720" w:left="720"/>
      </w:pPr>
      <w:r>
        <w:rPr>
          <w:rFonts w:ascii="Times New Roman" w:hAnsi="Times New Roman" w:eastAsia="宋体"/>
          <w:b/>
          <w:sz w:val="24"/>
        </w:rPr>
        <w:t xml:space="preserve">Shanghai </w:t>
      </w:r>
      <w:r>
        <w:rPr>
          <w:rFonts w:ascii="Times New Roman" w:hAnsi="Times New Roman" w:eastAsia="宋体"/>
          <w:b w:val="0"/>
          <w:sz w:val="24"/>
        </w:rPr>
        <w:t>Municipal Education Commission. (2024, September 12). Reply to Proposal No. 0001 of the 14th Municipal Committee of the Chinese People's Political Consultative Conference. https://edu.sh.gov.cn/xxgk2_zhzw_jyta_02/20240912/d88eb16b585b4fe2a89b7d4feb7d337d.html</w:t>
      </w:r>
    </w:p>
    <w:p>
      <w:pPr>
        <w:spacing w:after="0"/>
        <w:ind w:hanging="720" w:left="720"/>
      </w:pPr>
      <w:r>
        <w:rPr>
          <w:rFonts w:ascii="Times New Roman" w:hAnsi="Times New Roman" w:eastAsia="宋体"/>
          <w:b/>
          <w:sz w:val="24"/>
        </w:rPr>
        <w:t xml:space="preserve">Shanghai </w:t>
      </w:r>
      <w:r>
        <w:rPr>
          <w:rFonts w:ascii="Times New Roman" w:hAnsi="Times New Roman" w:eastAsia="宋体"/>
          <w:b w:val="0"/>
          <w:sz w:val="24"/>
        </w:rPr>
        <w:t>Municipal Education Commission. (2026, September 21). Developing skilled talent: Shanghai's vocational education plan for 2026-2030 [Multimedia]. https://english.shanghai.gov.cn/en-WorldSkillsMultimedia/20260921/e548006858f84443b2fa2ac9da419845.html</w:t>
      </w:r>
    </w:p>
    <w:p>
      <w:pPr>
        <w:spacing w:after="0"/>
        <w:ind w:hanging="720" w:left="720"/>
      </w:pPr>
      <w:r>
        <w:rPr>
          <w:rFonts w:ascii="Times New Roman" w:hAnsi="Times New Roman" w:eastAsia="宋体"/>
          <w:b/>
          <w:sz w:val="24"/>
        </w:rPr>
        <w:t xml:space="preserve">Shanghai </w:t>
      </w:r>
      <w:r>
        <w:rPr>
          <w:rFonts w:ascii="Times New Roman" w:hAnsi="Times New Roman" w:eastAsia="宋体"/>
          <w:b w:val="0"/>
          <w:sz w:val="24"/>
        </w:rPr>
        <w:t>Municipal Education Commission, &amp; Shanghai Disabled Persons' Federation. (2017). Implementation opinions on strengthening special vocational education management. http://fegw.sh.gov.cn/type9/20211228/688ed5de8f764b378dd79275246963ad.html</w:t>
      </w:r>
    </w:p>
    <w:p>
      <w:pPr>
        <w:spacing w:after="0"/>
        <w:ind w:hanging="720" w:left="720"/>
      </w:pPr>
      <w:r>
        <w:rPr>
          <w:rFonts w:ascii="Times New Roman" w:hAnsi="Times New Roman" w:eastAsia="宋体"/>
          <w:b/>
          <w:sz w:val="24"/>
        </w:rPr>
        <w:t xml:space="preserve">Shanghai </w:t>
      </w:r>
      <w:r>
        <w:rPr>
          <w:rFonts w:ascii="Times New Roman" w:hAnsi="Times New Roman" w:eastAsia="宋体"/>
          <w:b w:val="0"/>
          <w:sz w:val="24"/>
        </w:rPr>
        <w:t>Municipal Finance Bureau, Shanghai Tax Service (STB), Shanghai Human Resources and Social Security Bureau, &amp; Shanghai Disabled Persons' Federation. (2020). Implementation measures for collection and use management of Shanghai Disability Employment Security Fund (Hu Cai Fa [2020] No. 9). https://www.shanghai.gov.cn/nw12344/20260820/c11a99b20ad340839a9c55bbea9885de.html</w:t>
      </w:r>
    </w:p>
    <w:p>
      <w:pPr>
        <w:spacing w:after="0"/>
        <w:ind w:hanging="720" w:left="720"/>
      </w:pPr>
      <w:r>
        <w:rPr>
          <w:rFonts w:ascii="Times New Roman" w:hAnsi="Times New Roman" w:eastAsia="宋体"/>
          <w:b/>
          <w:sz w:val="24"/>
        </w:rPr>
        <w:t xml:space="preserve">Shanghai </w:t>
      </w:r>
      <w:r>
        <w:rPr>
          <w:rFonts w:ascii="Times New Roman" w:hAnsi="Times New Roman" w:eastAsia="宋体"/>
          <w:b w:val="0"/>
          <w:sz w:val="24"/>
        </w:rPr>
        <w:t>Municipal Government. (2026a, August 20). Shanghai's 15th Five-Year Plan for education development (2026-2030): Developing skilled talent. https://www.shanghai.gov.cn/nw12344/20260820/c11a99b20ad340839a9c55bbea9885de.html</w:t>
      </w:r>
    </w:p>
    <w:p>
      <w:pPr>
        <w:spacing w:after="0"/>
        <w:ind w:hanging="720" w:left="720"/>
      </w:pPr>
      <w:r>
        <w:rPr>
          <w:rFonts w:ascii="Times New Roman" w:hAnsi="Times New Roman" w:eastAsia="宋体"/>
          <w:b/>
          <w:sz w:val="24"/>
        </w:rPr>
        <w:t xml:space="preserve">Shanghai </w:t>
      </w:r>
      <w:r>
        <w:rPr>
          <w:rFonts w:ascii="Times New Roman" w:hAnsi="Times New Roman" w:eastAsia="宋体"/>
          <w:b w:val="0"/>
          <w:sz w:val="24"/>
        </w:rPr>
        <w:t>Municipal Human Resources and Social Security Bureau. (2026b, April 13). Skills Enhancement Year action plan: Skilled-talent training, new occupations and special vocational-ability pilots. https://english.shanghai.gov.cn/en-Latest-TalentsinShanghai/20260413/2fa9e41a0c46470897dc097213ff5f09.html</w:t>
      </w:r>
    </w:p>
    <w:p>
      <w:pPr>
        <w:spacing w:after="0"/>
        <w:ind w:hanging="720" w:left="720"/>
      </w:pPr>
      <w:r>
        <w:rPr>
          <w:rFonts w:ascii="Times New Roman" w:hAnsi="Times New Roman" w:eastAsia="宋体"/>
          <w:b/>
          <w:sz w:val="24"/>
        </w:rPr>
        <w:t xml:space="preserve">Shanghai </w:t>
      </w:r>
      <w:r>
        <w:rPr>
          <w:rFonts w:ascii="Times New Roman" w:hAnsi="Times New Roman" w:eastAsia="宋体"/>
          <w:b w:val="0"/>
          <w:sz w:val="24"/>
        </w:rPr>
        <w:t>Municipal People's Government. (2025, December 2). Shanghai three-year-action-plan for promoting the employment of persons with disabilities (2025-2027). https://www.shanghai.gov.cn/nw12344/20251222/5774ea5c13c74cec941368812adbbd7a.html</w:t>
      </w:r>
    </w:p>
    <w:p>
      <w:pPr>
        <w:spacing w:after="0"/>
        <w:ind w:hanging="720" w:left="720"/>
      </w:pPr>
      <w:r>
        <w:rPr>
          <w:rFonts w:ascii="Times New Roman" w:hAnsi="Times New Roman" w:eastAsia="宋体"/>
          <w:b/>
          <w:sz w:val="24"/>
        </w:rPr>
        <w:t xml:space="preserve">Shanghai </w:t>
      </w:r>
      <w:r>
        <w:rPr>
          <w:rFonts w:ascii="Times New Roman" w:hAnsi="Times New Roman" w:eastAsia="宋体"/>
          <w:b w:val="0"/>
          <w:sz w:val="24"/>
        </w:rPr>
        <w:t>Municipal Women and Children Work Committee. (2021, January 27). The internship dilemma of special children. http://fegw.sh.gov.cn/type3/20210127/c620bd884fec49fd8a104d15ce6433ac.html</w:t>
      </w:r>
    </w:p>
    <w:p>
      <w:pPr>
        <w:spacing w:after="0"/>
        <w:ind w:hanging="720" w:left="720"/>
      </w:pPr>
      <w:r>
        <w:rPr>
          <w:rFonts w:ascii="Times New Roman" w:hAnsi="Times New Roman" w:eastAsia="宋体"/>
          <w:b/>
          <w:sz w:val="24"/>
        </w:rPr>
        <w:t xml:space="preserve">Shanghai </w:t>
      </w:r>
      <w:r>
        <w:rPr>
          <w:rFonts w:ascii="Times New Roman" w:hAnsi="Times New Roman" w:eastAsia="宋体"/>
          <w:b w:val="0"/>
          <w:sz w:val="24"/>
        </w:rPr>
        <w:t>Vocational Education Online. (2026, May 18). Fengxian secondary vocational school: Special-education students job-shadowing at agricultural, car-wash, charity-supermarket and pet-experience bases. https://mp.weixin.qq.com/s/Zb1LSZ7TKpSUiUPFJn0aLQ</w:t>
      </w:r>
    </w:p>
    <w:p>
      <w:pPr>
        <w:spacing w:after="0"/>
        <w:ind w:hanging="720" w:left="720"/>
      </w:pPr>
      <w:r>
        <w:rPr>
          <w:rFonts w:ascii="Times New Roman" w:hAnsi="Times New Roman" w:eastAsia="宋体"/>
          <w:b/>
          <w:sz w:val="24"/>
        </w:rPr>
        <w:t xml:space="preserve">Star/MIND. </w:t>
      </w:r>
      <w:r>
        <w:rPr>
          <w:rFonts w:ascii="Times New Roman" w:hAnsi="Times New Roman" w:eastAsia="宋体"/>
          <w:b w:val="0"/>
          <w:sz w:val="24"/>
        </w:rPr>
        <w:t>(2018, May 6). Different levels based on individual abilities: Wisma Harapan. https://mind.org.my/news/different-levels-based-on-individual-abilities/</w:t>
      </w:r>
    </w:p>
    <w:p>
      <w:pPr>
        <w:spacing w:after="0"/>
        <w:ind w:hanging="720" w:left="720"/>
      </w:pPr>
      <w:r>
        <w:rPr>
          <w:rFonts w:ascii="Times New Roman" w:hAnsi="Times New Roman" w:eastAsia="宋体"/>
          <w:b/>
          <w:sz w:val="24"/>
        </w:rPr>
        <w:t xml:space="preserve">Tencent </w:t>
      </w:r>
      <w:r>
        <w:rPr>
          <w:rFonts w:ascii="Times New Roman" w:hAnsi="Times New Roman" w:eastAsia="宋体"/>
          <w:b w:val="0"/>
          <w:sz w:val="24"/>
        </w:rPr>
        <w:t>News. (2024, April 21). First experience of workplace life for special-education-class youth. https://news.qq.com/rain/a/20240421A00R6800</w:t>
      </w:r>
    </w:p>
    <w:p>
      <w:pPr>
        <w:spacing w:after="0"/>
        <w:ind w:hanging="720" w:left="720"/>
      </w:pPr>
      <w:r>
        <w:rPr>
          <w:rFonts w:ascii="Times New Roman" w:hAnsi="Times New Roman" w:eastAsia="宋体"/>
          <w:b/>
          <w:sz w:val="24"/>
        </w:rPr>
        <w:t xml:space="preserve">The </w:t>
      </w:r>
      <w:r>
        <w:rPr>
          <w:rFonts w:ascii="Times New Roman" w:hAnsi="Times New Roman" w:eastAsia="宋体"/>
          <w:b w:val="0"/>
          <w:sz w:val="24"/>
        </w:rPr>
        <w:t>Star. (2026, July 7). 1 Utama's AmazeWork opens doors for people with autism. https://wakeup.sg/malaysia-autism-work-programme/</w:t>
      </w:r>
    </w:p>
    <w:p>
      <w:pPr>
        <w:spacing w:after="0"/>
        <w:ind w:hanging="720" w:left="720"/>
      </w:pPr>
      <w:r>
        <w:rPr>
          <w:rFonts w:ascii="Times New Roman" w:hAnsi="Times New Roman" w:eastAsia="宋体"/>
          <w:b/>
          <w:sz w:val="24"/>
        </w:rPr>
        <w:t xml:space="preserve">WALS. </w:t>
      </w:r>
      <w:r>
        <w:rPr>
          <w:rFonts w:ascii="Times New Roman" w:hAnsi="Times New Roman" w:eastAsia="宋体"/>
          <w:b w:val="0"/>
          <w:sz w:val="24"/>
        </w:rPr>
        <w:t>(2022). Additional information for school visit: Sekolah Menengah Pendidikan Khas Vokasional Shah Alam. https://www.walsnet.org/2022/additional-information-for-school-visit</w:t>
      </w:r>
    </w:p>
    <w:p>
      <w:pPr>
        <w:spacing w:after="0"/>
        <w:ind w:hanging="720" w:left="720"/>
      </w:pPr>
      <w:r>
        <w:rPr>
          <w:rFonts w:ascii="Times New Roman" w:hAnsi="Times New Roman" w:eastAsia="宋体"/>
          <w:b/>
          <w:sz w:val="24"/>
        </w:rPr>
        <w:t xml:space="preserve">Xianchuang </w:t>
      </w:r>
      <w:r>
        <w:rPr>
          <w:rFonts w:ascii="Times New Roman" w:hAnsi="Times New Roman" w:eastAsia="宋体"/>
          <w:b w:val="0"/>
          <w:sz w:val="24"/>
        </w:rPr>
        <w:t>Public Welfare Service Center, Fengxian District. (2026, May 11). Job-shadowing at Fengxian charity supermarket for special-education students. https://mp.weixin.qq.com/s/gKcoFs3PGrJhAOOgdBW6Ww</w:t>
      </w:r>
    </w:p>
    <w:p>
      <w:pPr>
        <w:spacing w:after="0"/>
        <w:ind w:hanging="720" w:left="720"/>
      </w:pPr>
      <w:r>
        <w:rPr>
          <w:rFonts w:ascii="Times New Roman" w:hAnsi="Times New Roman" w:eastAsia="宋体"/>
          <w:b/>
          <w:sz w:val="24"/>
        </w:rPr>
        <w:t xml:space="preserve">Xu, </w:t>
      </w:r>
      <w:r>
        <w:rPr>
          <w:rFonts w:ascii="Times New Roman" w:hAnsi="Times New Roman" w:eastAsia="宋体"/>
          <w:b w:val="0"/>
          <w:sz w:val="24"/>
        </w:rPr>
        <w:t>T. X., &amp; Su, H. (2016). From school to employment: Development and enlightenment of American transition-model for students with disabilities. Disability Research, (2), 25-29.</w:t>
      </w:r>
    </w:p>
    <w:p>
      <w:pPr>
        <w:spacing w:after="0"/>
        <w:ind w:hanging="720" w:left="720"/>
      </w:pPr>
      <w:r>
        <w:rPr>
          <w:rFonts w:ascii="Times New Roman" w:hAnsi="Times New Roman" w:eastAsia="宋体"/>
          <w:b/>
          <w:sz w:val="24"/>
        </w:rPr>
        <w:t xml:space="preserve">Yang, </w:t>
      </w:r>
      <w:r>
        <w:rPr>
          <w:rFonts w:ascii="Times New Roman" w:hAnsi="Times New Roman" w:eastAsia="宋体"/>
          <w:b w:val="0"/>
          <w:sz w:val="24"/>
        </w:rPr>
        <w:t>Q. P. (2021, January 26). Proposal on building internship bases for students with intellectual disability, autism and cerebral palsy and providing funding subsidies to receiving enterprises. https://www.icppcc.cn/newsDetail_1055588</w:t>
      </w:r>
    </w:p>
    <w:p>
      <w:pPr>
        <w:spacing w:after="0"/>
        <w:ind w:hanging="720" w:left="720"/>
      </w:pPr>
      <w:r>
        <w:rPr>
          <w:rFonts w:ascii="Times New Roman" w:hAnsi="Times New Roman" w:eastAsia="宋体"/>
          <w:b/>
          <w:sz w:val="24"/>
        </w:rPr>
        <w:t xml:space="preserve">Yin, </w:t>
      </w:r>
      <w:r>
        <w:rPr>
          <w:rFonts w:ascii="Times New Roman" w:hAnsi="Times New Roman" w:eastAsia="宋体"/>
          <w:b w:val="0"/>
          <w:sz w:val="24"/>
        </w:rPr>
        <w:t>S. L. (2022). Research on the content of employment-transition services for students with disabilities. Modern Business Trade Industry, 43(16), 107-109.</w:t>
      </w:r>
    </w:p>
    <w:p>
      <w:pPr>
        <w:spacing w:after="0"/>
        <w:ind w:hanging="720" w:left="720"/>
      </w:pPr>
      <w:r>
        <w:rPr>
          <w:rFonts w:ascii="Times New Roman" w:hAnsi="Times New Roman" w:eastAsia="宋体"/>
          <w:b/>
          <w:sz w:val="24"/>
        </w:rPr>
        <w:t xml:space="preserve">Yusop, </w:t>
      </w:r>
      <w:r>
        <w:rPr>
          <w:rFonts w:ascii="Times New Roman" w:hAnsi="Times New Roman" w:eastAsia="宋体"/>
          <w:b w:val="0"/>
          <w:sz w:val="24"/>
        </w:rPr>
        <w:t>S. Z. (2024). Job Coach development in career transition in Malaysia. https://hrmars.com/papers_submitted/22358/job-coach-development-in-career-transition-in-malaysia.pdf</w:t>
      </w:r>
    </w:p>
    <w:p>
      <w:pPr>
        <w:spacing w:after="0"/>
        <w:ind w:hanging="720" w:left="720"/>
      </w:pPr>
      <w:r>
        <w:rPr>
          <w:rFonts w:ascii="Times New Roman" w:hAnsi="Times New Roman" w:eastAsia="宋体"/>
          <w:b/>
          <w:sz w:val="24"/>
        </w:rPr>
        <w:t xml:space="preserve">Zhang, </w:t>
      </w:r>
      <w:r>
        <w:rPr>
          <w:rFonts w:ascii="Times New Roman" w:hAnsi="Times New Roman" w:eastAsia="宋体"/>
          <w:b w:val="0"/>
          <w:sz w:val="24"/>
        </w:rPr>
        <w:t>Y., Ding, Y. L., &amp; Xu, T. X. (2023). Connotation, dilemma and outlet of cross-department collaboration in special-students' employment transition. Modern Special Education, (12), 44-51.</w:t>
      </w:r>
    </w:p>
    <w:p>
      <w:pPr>
        <w:spacing w:after="0"/>
        <w:ind w:hanging="720" w:left="720"/>
      </w:pPr>
      <w:r>
        <w:rPr>
          <w:rFonts w:ascii="Times New Roman" w:hAnsi="Times New Roman" w:eastAsia="宋体"/>
          <w:b/>
          <w:sz w:val="24"/>
        </w:rPr>
        <w:t xml:space="preserve">Zhou, </w:t>
      </w:r>
      <w:r>
        <w:rPr>
          <w:rFonts w:ascii="Times New Roman" w:hAnsi="Times New Roman" w:eastAsia="宋体"/>
          <w:b w:val="0"/>
          <w:sz w:val="24"/>
        </w:rPr>
        <w:t>Z. (2022). Employment-oriented practice exploration of special-vocational-education: Taking the youth-employment-support-model of L special-education-school for mentally disabled youth as example. Vocational Education Research, (7), 56-60.</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480" w:lineRule="auto"/>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{"Label":"1","ContentProducer":"001191440300708461136T1WFUO","ProduceID":"26c54b0e062c73d42d50a1b6ca2318ae-CP5V","ReservedCode1":"{\"Type\":\" TC260PG\",\"Version\":1,\"Bindings\":[{\"Type\":\"soft\",\"AlgID\":\"sm3\",\"Value\":\"122a180e1f5690fcf41d31d55f5349cd51c14dcd6db7d54d162a91e7ffcd47ea\"},{\"Type\":\"hash\",\"AlgID\":\"sm3\",\"Value\":\"a37961bf9d7e586d19dea719e68e00ffa2e3a6fca8528084c4f49f21ef610033\"}],\"PubSD\":[{\"Type\":\"DS\",\"AlgID\":\"sm2\",\"TBSData\":{\"Type\":\"Binding\",\"BType\":\"hash\"},\"Signature\":\"30450220448722bb013bf30287a16a424842687bb34c57fbc51206b6afef0334812f047d022100edbc30f93a058a34a4be7884037b09685864ff72f169f637e7124993509673b0\"},{\"Type\":\"PubKey\",\"AlgID\":\"sm2\",\"KeyValue\":\"0407f79b28a17a752b3aae4305c98b48978213832729a2571850b1310b2bc9fe8fee039ccf25ebfeac27502414d9fcef792d777183c98893d226171c2f7a3289a2\"}],\"Extension\":{\"Timestamp\":1791510819,\"KeyVersion\":\"v1-TxLeOmf7bqU223\"}}","ContentPropagator":"001191440300708461136T1WFUO","PropagateID":"26c54b0e062c73d42d50a1b6ca2318ae-CP5V","ReservedCode2":"{\"Type\":\" TC260PG\",\"Version\":1,\"Bindings\":[{\"Type\":\"soft\",\"AlgID\":\"sm3\",\"Value\":\"122a180e1f5690fcf41d31d55f5349cd51c14dcd6db7d54d162a91e7ffcd47ea\"},{\"Type\":\"hash\",\"AlgID\":\"sm3\",\"Value\":\"a37961bf9d7e586d19dea719e68e00ffa2e3a6fca8528084c4f49f21ef610033\"}],\"PubSD\":[{\"Type\":\"DS\",\"AlgID\":\"sm2\",\"TBSData\":{\"Type\":\"Binding\",\"BType\":\"hash\"},\"Signature\":\"30460221008faf8b119ea4ff0f65eab05e9e09792dca130fc239de1779cb07275b538994370221009f4dd6c286e4b9440c8857a6053a3c99e61a184dbb8183577e394c862dd7ea43\"},{\"Type\":\"PubKey\",\"AlgID\":\"sm2\",\"KeyValue\":\"0407f79b28a17a752b3aae4305c98b48978213832729a2571850b1310b2bc9fe8fee039ccf25ebfeac27502414d9fcef792d777183c98893d226171c2f7a3289a2\"}],\"Extension\":{\"Timestamp\":1791510819,\"KeyVersion\":\"v1-TxLeOmf7bqU223\"}}"}</vt:lpwstr>
  </property>
</Properties>
</file>